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94DA3" w14:textId="77777777" w:rsidR="00B8577B" w:rsidRPr="000B0A60" w:rsidRDefault="00B8577B" w:rsidP="00A4579B">
      <w:pPr>
        <w:jc w:val="center"/>
        <w:outlineLvl w:val="0"/>
        <w:rPr>
          <w:rFonts w:ascii="Times New Roman" w:hAnsi="Times New Roman" w:cs="Times New Roman"/>
        </w:rPr>
      </w:pPr>
      <w:bookmarkStart w:id="0" w:name="_GoBack"/>
      <w:bookmarkEnd w:id="0"/>
      <w:r w:rsidRPr="000B0A60">
        <w:rPr>
          <w:rFonts w:ascii="Times New Roman" w:hAnsi="Times New Roman" w:cs="Times New Roman"/>
          <w:b/>
        </w:rPr>
        <w:t xml:space="preserve">Medicare </w:t>
      </w:r>
      <w:r w:rsidRPr="000B0A60">
        <w:rPr>
          <w:rFonts w:ascii="Times New Roman" w:hAnsi="Times New Roman" w:cs="Times New Roman"/>
          <w:b/>
          <w:color w:val="FF0000"/>
        </w:rPr>
        <w:t xml:space="preserve">Red Tape </w:t>
      </w:r>
      <w:r w:rsidRPr="000B0A60">
        <w:rPr>
          <w:rFonts w:ascii="Times New Roman" w:hAnsi="Times New Roman" w:cs="Times New Roman"/>
          <w:b/>
        </w:rPr>
        <w:t>Relief Project</w:t>
      </w:r>
    </w:p>
    <w:p w14:paraId="3CE42980" w14:textId="77777777" w:rsidR="00B8577B" w:rsidRPr="000B0A60" w:rsidRDefault="00B8577B" w:rsidP="00A4579B">
      <w:pPr>
        <w:jc w:val="center"/>
        <w:outlineLvl w:val="0"/>
        <w:rPr>
          <w:rFonts w:ascii="Times New Roman" w:hAnsi="Times New Roman" w:cs="Times New Roman"/>
        </w:rPr>
      </w:pPr>
      <w:r w:rsidRPr="000B0A60">
        <w:rPr>
          <w:rFonts w:ascii="Times New Roman" w:hAnsi="Times New Roman" w:cs="Times New Roman"/>
        </w:rPr>
        <w:t xml:space="preserve">Submissions accepted by the Committee on Ways and Means, Subcommittee on Health </w:t>
      </w:r>
    </w:p>
    <w:p w14:paraId="0FFCC3C8" w14:textId="77777777" w:rsidR="00B8577B" w:rsidRPr="000B0A60" w:rsidRDefault="00B8577B" w:rsidP="00B8577B">
      <w:pPr>
        <w:jc w:val="center"/>
        <w:rPr>
          <w:rFonts w:ascii="Times New Roman" w:hAnsi="Times New Roman" w:cs="Times New Roman"/>
        </w:rPr>
      </w:pPr>
    </w:p>
    <w:p w14:paraId="6EEF9723" w14:textId="03CFEA2C" w:rsidR="00B8577B" w:rsidRPr="000B0A60" w:rsidRDefault="004E1582" w:rsidP="00B8577B">
      <w:pPr>
        <w:rPr>
          <w:rFonts w:ascii="Times New Roman" w:hAnsi="Times New Roman" w:cs="Times New Roman"/>
        </w:rPr>
      </w:pPr>
      <w:r w:rsidRPr="000B0A60">
        <w:rPr>
          <w:rFonts w:ascii="Times New Roman" w:hAnsi="Times New Roman" w:cs="Times New Roman"/>
        </w:rPr>
        <w:t xml:space="preserve">Date: </w:t>
      </w:r>
      <w:r w:rsidRPr="000B0A60">
        <w:rPr>
          <w:rFonts w:ascii="Times New Roman" w:hAnsi="Times New Roman" w:cs="Times New Roman"/>
        </w:rPr>
        <w:tab/>
      </w:r>
      <w:r w:rsidRPr="000B0A60">
        <w:rPr>
          <w:rFonts w:ascii="Times New Roman" w:hAnsi="Times New Roman" w:cs="Times New Roman"/>
          <w:color w:val="244061" w:themeColor="accent1" w:themeShade="80"/>
        </w:rPr>
        <w:t>August 2</w:t>
      </w:r>
      <w:r w:rsidR="00170F6E">
        <w:rPr>
          <w:rFonts w:ascii="Times New Roman" w:hAnsi="Times New Roman" w:cs="Times New Roman"/>
          <w:color w:val="244061" w:themeColor="accent1" w:themeShade="80"/>
        </w:rPr>
        <w:t>5</w:t>
      </w:r>
      <w:r w:rsidR="00B8577B" w:rsidRPr="000B0A60">
        <w:rPr>
          <w:rFonts w:ascii="Times New Roman" w:hAnsi="Times New Roman" w:cs="Times New Roman"/>
          <w:color w:val="244061" w:themeColor="accent1" w:themeShade="80"/>
        </w:rPr>
        <w:t>, 2017</w:t>
      </w:r>
    </w:p>
    <w:p w14:paraId="7885FE7E" w14:textId="77777777" w:rsidR="00B8577B" w:rsidRPr="000B0A60" w:rsidRDefault="00B8577B" w:rsidP="00B8577B">
      <w:pPr>
        <w:rPr>
          <w:rFonts w:ascii="Times New Roman" w:hAnsi="Times New Roman" w:cs="Times New Roman"/>
        </w:rPr>
      </w:pPr>
    </w:p>
    <w:p w14:paraId="47810D73" w14:textId="77777777" w:rsidR="00B8577B" w:rsidRPr="000B0A60" w:rsidRDefault="00B8577B" w:rsidP="00B8577B">
      <w:pPr>
        <w:rPr>
          <w:rFonts w:ascii="Times New Roman" w:hAnsi="Times New Roman" w:cs="Times New Roman"/>
        </w:rPr>
      </w:pPr>
      <w:r w:rsidRPr="000B0A60">
        <w:rPr>
          <w:rFonts w:ascii="Times New Roman" w:hAnsi="Times New Roman" w:cs="Times New Roman"/>
        </w:rPr>
        <w:t xml:space="preserve">Name of Submitting Organization:  </w:t>
      </w:r>
      <w:r w:rsidRPr="000B0A60">
        <w:rPr>
          <w:rFonts w:ascii="Times New Roman" w:hAnsi="Times New Roman" w:cs="Times New Roman"/>
          <w:color w:val="244061" w:themeColor="accent1" w:themeShade="80"/>
        </w:rPr>
        <w:t xml:space="preserve">Physicians Advocacy Institute </w:t>
      </w:r>
    </w:p>
    <w:p w14:paraId="3CEDE159" w14:textId="77777777" w:rsidR="00B8577B" w:rsidRPr="000B0A60" w:rsidRDefault="00B8577B" w:rsidP="00B8577B">
      <w:pPr>
        <w:rPr>
          <w:rFonts w:ascii="Times New Roman" w:hAnsi="Times New Roman" w:cs="Times New Roman"/>
        </w:rPr>
      </w:pPr>
      <w:r w:rsidRPr="000B0A60">
        <w:rPr>
          <w:rFonts w:ascii="Times New Roman" w:hAnsi="Times New Roman" w:cs="Times New Roman"/>
        </w:rPr>
        <w:t>Addre</w:t>
      </w:r>
      <w:r w:rsidR="004E1582" w:rsidRPr="000B0A60">
        <w:rPr>
          <w:rFonts w:ascii="Times New Roman" w:hAnsi="Times New Roman" w:cs="Times New Roman"/>
        </w:rPr>
        <w:t>ss for Submitting Organization:</w:t>
      </w:r>
    </w:p>
    <w:p w14:paraId="0CEAF4BE" w14:textId="77777777" w:rsidR="00B8577B" w:rsidRPr="000B0A60" w:rsidRDefault="00B8577B" w:rsidP="00B8577B">
      <w:pPr>
        <w:rPr>
          <w:rFonts w:ascii="Times New Roman" w:hAnsi="Times New Roman" w:cs="Times New Roman"/>
        </w:rPr>
      </w:pPr>
      <w:r w:rsidRPr="000B0A60">
        <w:rPr>
          <w:rFonts w:ascii="Times New Roman" w:hAnsi="Times New Roman" w:cs="Times New Roman"/>
        </w:rPr>
        <w:t xml:space="preserve">Name of Submitting Staff:  </w:t>
      </w:r>
      <w:r w:rsidRPr="000B0A60">
        <w:rPr>
          <w:rFonts w:ascii="Times New Roman" w:hAnsi="Times New Roman" w:cs="Times New Roman"/>
          <w:color w:val="244061" w:themeColor="accent1" w:themeShade="80"/>
        </w:rPr>
        <w:t>Kelly K</w:t>
      </w:r>
      <w:r w:rsidR="004E1582" w:rsidRPr="000B0A60">
        <w:rPr>
          <w:rFonts w:ascii="Times New Roman" w:hAnsi="Times New Roman" w:cs="Times New Roman"/>
          <w:color w:val="244061" w:themeColor="accent1" w:themeShade="80"/>
        </w:rPr>
        <w:t>enney, Executive Vice President/CEO</w:t>
      </w:r>
    </w:p>
    <w:p w14:paraId="2CBBD599" w14:textId="77777777" w:rsidR="00B8577B" w:rsidRPr="000B0A60" w:rsidRDefault="00B8577B" w:rsidP="00A4579B">
      <w:pPr>
        <w:outlineLvl w:val="0"/>
        <w:rPr>
          <w:rFonts w:ascii="Times New Roman" w:hAnsi="Times New Roman" w:cs="Times New Roman"/>
          <w:color w:val="244061" w:themeColor="accent1" w:themeShade="80"/>
        </w:rPr>
      </w:pPr>
      <w:r w:rsidRPr="000B0A60">
        <w:rPr>
          <w:rFonts w:ascii="Times New Roman" w:hAnsi="Times New Roman" w:cs="Times New Roman"/>
        </w:rPr>
        <w:t xml:space="preserve">Submitting Staff Phone: </w:t>
      </w:r>
      <w:r w:rsidRPr="000B0A60">
        <w:rPr>
          <w:rFonts w:ascii="Times New Roman" w:hAnsi="Times New Roman" w:cs="Times New Roman"/>
          <w:color w:val="244061" w:themeColor="accent1" w:themeShade="80"/>
        </w:rPr>
        <w:t>(312) 543-7955</w:t>
      </w:r>
    </w:p>
    <w:p w14:paraId="3CFE0761" w14:textId="77777777" w:rsidR="00B8577B" w:rsidRPr="000B0A60" w:rsidRDefault="00B8577B" w:rsidP="00B8577B">
      <w:pPr>
        <w:rPr>
          <w:rFonts w:ascii="Times New Roman" w:hAnsi="Times New Roman" w:cs="Times New Roman"/>
        </w:rPr>
      </w:pPr>
      <w:r w:rsidRPr="000B0A60">
        <w:rPr>
          <w:rFonts w:ascii="Times New Roman" w:hAnsi="Times New Roman" w:cs="Times New Roman"/>
        </w:rPr>
        <w:t xml:space="preserve">Submitting Staff E-mail:  </w:t>
      </w:r>
      <w:r w:rsidR="004E1582" w:rsidRPr="000B0A60">
        <w:rPr>
          <w:rFonts w:ascii="Times New Roman" w:hAnsi="Times New Roman" w:cs="Times New Roman"/>
          <w:color w:val="244061" w:themeColor="accent1" w:themeShade="80"/>
          <w:bdr w:val="none" w:sz="0" w:space="0" w:color="auto" w:frame="1"/>
          <w:shd w:val="clear" w:color="auto" w:fill="FFFFFF"/>
        </w:rPr>
        <w:t>k</w:t>
      </w:r>
      <w:r w:rsidRPr="000B0A60">
        <w:rPr>
          <w:rFonts w:ascii="Times New Roman" w:hAnsi="Times New Roman" w:cs="Times New Roman"/>
          <w:color w:val="244061" w:themeColor="accent1" w:themeShade="80"/>
          <w:bdr w:val="none" w:sz="0" w:space="0" w:color="auto" w:frame="1"/>
          <w:shd w:val="clear" w:color="auto" w:fill="FFFFFF"/>
        </w:rPr>
        <w:t>2strategiesllc@gmail.com</w:t>
      </w:r>
    </w:p>
    <w:p w14:paraId="786DE1F0" w14:textId="77777777" w:rsidR="00B8577B" w:rsidRPr="000B0A60" w:rsidRDefault="00B8577B" w:rsidP="00B8577B">
      <w:pPr>
        <w:rPr>
          <w:rFonts w:ascii="Times New Roman" w:hAnsi="Times New Roman" w:cs="Times New Roman"/>
        </w:rPr>
      </w:pPr>
    </w:p>
    <w:p w14:paraId="2A819BE4" w14:textId="77777777" w:rsidR="00B8577B" w:rsidRPr="000B0A60" w:rsidRDefault="00B8577B" w:rsidP="00A4579B">
      <w:pPr>
        <w:outlineLvl w:val="0"/>
        <w:rPr>
          <w:rFonts w:ascii="Times New Roman" w:hAnsi="Times New Roman" w:cs="Times New Roman"/>
        </w:rPr>
      </w:pPr>
      <w:r w:rsidRPr="000B0A60">
        <w:rPr>
          <w:rFonts w:ascii="Times New Roman" w:hAnsi="Times New Roman" w:cs="Times New Roman"/>
        </w:rPr>
        <w:t xml:space="preserve">Statutory </w:t>
      </w:r>
      <w:r w:rsidRPr="000B0A60">
        <w:rPr>
          <w:rFonts w:ascii="Times New Roman" w:hAnsi="Times New Roman" w:cs="Times New Roman"/>
        </w:rPr>
        <w:sym w:font="Wingdings" w:char="F0FC"/>
      </w:r>
      <w:r w:rsidRPr="000B0A60">
        <w:rPr>
          <w:rFonts w:ascii="Times New Roman" w:hAnsi="Times New Roman" w:cs="Times New Roman"/>
        </w:rPr>
        <w:t xml:space="preserve">  </w:t>
      </w:r>
    </w:p>
    <w:p w14:paraId="49463C4A" w14:textId="21096E27" w:rsidR="00B8577B" w:rsidRPr="000B0A60" w:rsidRDefault="00B8577B" w:rsidP="00B8577B">
      <w:pPr>
        <w:rPr>
          <w:rFonts w:ascii="Times New Roman" w:hAnsi="Times New Roman" w:cs="Times New Roman"/>
        </w:rPr>
      </w:pPr>
      <w:r w:rsidRPr="000B0A60">
        <w:rPr>
          <w:rFonts w:ascii="Times New Roman" w:hAnsi="Times New Roman" w:cs="Times New Roman"/>
        </w:rPr>
        <w:t xml:space="preserve">Regulatory </w:t>
      </w:r>
      <w:r w:rsidR="00A907CC" w:rsidRPr="00A907CC">
        <w:rPr>
          <w:rFonts w:ascii="Times New Roman" w:hAnsi="Times New Roman" w:cs="Times New Roman"/>
        </w:rPr>
        <w:sym w:font="Wingdings" w:char="F0FC"/>
      </w:r>
    </w:p>
    <w:p w14:paraId="2683C125" w14:textId="77777777" w:rsidR="00B8577B" w:rsidRPr="000B0A60" w:rsidRDefault="00B8577B" w:rsidP="00B8577B">
      <w:pPr>
        <w:rPr>
          <w:rFonts w:ascii="Times New Roman" w:hAnsi="Times New Roman" w:cs="Times New Roman"/>
        </w:rPr>
      </w:pPr>
    </w:p>
    <w:p w14:paraId="27956F40" w14:textId="77777777" w:rsidR="00B8577B" w:rsidRPr="000B0A60" w:rsidRDefault="00B8577B" w:rsidP="00B8577B">
      <w:pPr>
        <w:rPr>
          <w:rFonts w:ascii="Times New Roman" w:hAnsi="Times New Roman" w:cs="Times New Roman"/>
          <w:b/>
        </w:rPr>
      </w:pPr>
      <w:r w:rsidRPr="000B0A60">
        <w:rPr>
          <w:rFonts w:ascii="Times New Roman" w:hAnsi="Times New Roman" w:cs="Times New Roman"/>
          <w:b/>
        </w:rPr>
        <w:t xml:space="preserve">Please describe the submitting organization’s interaction with the Medicare program: </w:t>
      </w:r>
    </w:p>
    <w:p w14:paraId="79B851FE" w14:textId="77777777" w:rsidR="00333450" w:rsidRPr="000B0A60" w:rsidRDefault="00333450" w:rsidP="00B8577B">
      <w:pPr>
        <w:rPr>
          <w:rFonts w:ascii="Times New Roman" w:hAnsi="Times New Roman" w:cs="Times New Roman"/>
        </w:rPr>
      </w:pPr>
    </w:p>
    <w:p w14:paraId="2AD9B6AE" w14:textId="3E6F4C94" w:rsidR="00B8577B" w:rsidRPr="000B0A60" w:rsidRDefault="004E1582" w:rsidP="00B8577B">
      <w:pPr>
        <w:rPr>
          <w:rFonts w:ascii="Times New Roman" w:hAnsi="Times New Roman" w:cs="Times New Roman"/>
          <w:color w:val="244061" w:themeColor="accent1" w:themeShade="80"/>
        </w:rPr>
      </w:pPr>
      <w:r w:rsidRPr="000B0A60">
        <w:rPr>
          <w:rFonts w:ascii="Times New Roman" w:hAnsi="Times New Roman" w:cs="Times New Roman"/>
          <w:color w:val="244061" w:themeColor="accent1" w:themeShade="80"/>
        </w:rPr>
        <w:t>PAI is a not-for-profit advocacy organization focused on securing fair and transparent payment for physicians.  PAI’s Board is comprised of CEOs/former CEOs of state medical associations from California, Connecticut, Georgia, Nebraska, New York, North Carolina, South Carolina, Tennessee and Texas and a Kentucky physician.</w:t>
      </w:r>
      <w:r w:rsidR="00E82EFF">
        <w:rPr>
          <w:rFonts w:ascii="Times New Roman" w:hAnsi="Times New Roman" w:cs="Times New Roman"/>
          <w:color w:val="244061" w:themeColor="accent1" w:themeShade="80"/>
        </w:rPr>
        <w:t xml:space="preserve">  </w:t>
      </w:r>
      <w:r w:rsidR="00E82EFF" w:rsidRPr="00E82EFF">
        <w:rPr>
          <w:rFonts w:ascii="Times New Roman" w:hAnsi="Times New Roman" w:cs="Times New Roman"/>
          <w:color w:val="244061" w:themeColor="accent1" w:themeShade="80"/>
        </w:rPr>
        <w:t>A significant portion of the members of these and other states’ medical societies treat Medicare patients and submit claims to Medicare.</w:t>
      </w:r>
    </w:p>
    <w:p w14:paraId="7D41EF2C" w14:textId="77777777" w:rsidR="00B8577B" w:rsidRPr="000B0A60" w:rsidRDefault="00B8577B" w:rsidP="00B8577B">
      <w:pPr>
        <w:rPr>
          <w:rFonts w:ascii="Times New Roman" w:hAnsi="Times New Roman" w:cs="Times New Roman"/>
        </w:rPr>
      </w:pPr>
    </w:p>
    <w:p w14:paraId="78648519" w14:textId="4F58674F" w:rsidR="00333450" w:rsidRPr="000B0A60" w:rsidRDefault="00B8577B" w:rsidP="00B8577B">
      <w:pPr>
        <w:rPr>
          <w:rFonts w:ascii="Times New Roman" w:hAnsi="Times New Roman" w:cs="Times New Roman"/>
        </w:rPr>
      </w:pPr>
      <w:r w:rsidRPr="000B0A60">
        <w:rPr>
          <w:rFonts w:ascii="Times New Roman" w:hAnsi="Times New Roman" w:cs="Times New Roman"/>
          <w:b/>
        </w:rPr>
        <w:t>Short Description:</w:t>
      </w:r>
      <w:r w:rsidRPr="000B0A60">
        <w:rPr>
          <w:rFonts w:ascii="Times New Roman" w:hAnsi="Times New Roman" w:cs="Times New Roman"/>
        </w:rPr>
        <w:t xml:space="preserve">  </w:t>
      </w:r>
      <w:r w:rsidR="00D72D02" w:rsidRPr="000B0A60">
        <w:rPr>
          <w:rFonts w:ascii="Times New Roman" w:hAnsi="Times New Roman" w:cs="Times New Roman"/>
        </w:rPr>
        <w:t>Uncompensated translation services</w:t>
      </w:r>
    </w:p>
    <w:p w14:paraId="31C2A0E6" w14:textId="77777777" w:rsidR="00D72D02" w:rsidRPr="000B0A60" w:rsidRDefault="00D72D02" w:rsidP="00D72D02">
      <w:pPr>
        <w:rPr>
          <w:rFonts w:ascii="Times New Roman" w:hAnsi="Times New Roman" w:cs="Times New Roman"/>
        </w:rPr>
      </w:pPr>
    </w:p>
    <w:p w14:paraId="00AC7236" w14:textId="19AB12F4" w:rsidR="000B0A60" w:rsidRPr="000B0A60" w:rsidRDefault="00B8577B" w:rsidP="000B0A60">
      <w:pPr>
        <w:rPr>
          <w:rFonts w:ascii="Times New Roman" w:hAnsi="Times New Roman" w:cs="Times New Roman"/>
          <w:bCs/>
          <w:iCs/>
        </w:rPr>
      </w:pPr>
      <w:r w:rsidRPr="000B0A60">
        <w:rPr>
          <w:rFonts w:ascii="Times New Roman" w:hAnsi="Times New Roman" w:cs="Times New Roman"/>
          <w:b/>
        </w:rPr>
        <w:t xml:space="preserve">Summary: </w:t>
      </w:r>
      <w:r w:rsidR="000B0A60" w:rsidRPr="000B0A60">
        <w:rPr>
          <w:rFonts w:ascii="Times New Roman" w:hAnsi="Times New Roman" w:cs="Times New Roman"/>
          <w:bCs/>
          <w:iCs/>
        </w:rPr>
        <w:t>In many situations, physician offices are forced to pay for interpreters when treating patients with limited English proficiency, who are deaf or the deaf companions of patients.  Patients’ families and friends cannot be used, except in an emergency</w:t>
      </w:r>
      <w:r w:rsidR="00E82EFF">
        <w:rPr>
          <w:rFonts w:ascii="Times New Roman" w:hAnsi="Times New Roman" w:cs="Times New Roman"/>
          <w:bCs/>
          <w:iCs/>
        </w:rPr>
        <w:t xml:space="preserve">.  </w:t>
      </w:r>
      <w:r w:rsidR="000B0A60" w:rsidRPr="000B0A60">
        <w:rPr>
          <w:rFonts w:ascii="Times New Roman" w:hAnsi="Times New Roman" w:cs="Times New Roman"/>
          <w:bCs/>
          <w:iCs/>
        </w:rPr>
        <w:t xml:space="preserve">The patient cannot be charged for the cost of interpreters and </w:t>
      </w:r>
      <w:r w:rsidR="001B3E17">
        <w:rPr>
          <w:rFonts w:ascii="Times New Roman" w:hAnsi="Times New Roman" w:cs="Times New Roman"/>
          <w:bCs/>
          <w:iCs/>
        </w:rPr>
        <w:t>Medicare does</w:t>
      </w:r>
      <w:r w:rsidR="000B0A60" w:rsidRPr="000B0A60">
        <w:rPr>
          <w:rFonts w:ascii="Times New Roman" w:hAnsi="Times New Roman" w:cs="Times New Roman"/>
          <w:bCs/>
          <w:iCs/>
        </w:rPr>
        <w:t xml:space="preserve"> not reimburse the physician for the cost of the interpreter.  The Internal Revenue Code allows small businesses to receive a tax credit for the cost of complying with the Americans with Disabilities Act.  A small business is one whose gross receipts do not exceed $1,000,000 and does not have more than 30 full-time employees.  The business may claim a credit of up to 50% of expenditures that exceed $250 but do not exceed $10,250.</w:t>
      </w:r>
    </w:p>
    <w:p w14:paraId="12ED9AC2" w14:textId="77777777" w:rsidR="000B0A60" w:rsidRDefault="000B0A60" w:rsidP="000B0A60">
      <w:pPr>
        <w:rPr>
          <w:rFonts w:ascii="Times New Roman" w:hAnsi="Times New Roman" w:cs="Times New Roman"/>
          <w:bCs/>
        </w:rPr>
      </w:pPr>
    </w:p>
    <w:p w14:paraId="44BE3E15" w14:textId="75E46DED" w:rsidR="000B0A60" w:rsidRDefault="000B0A60" w:rsidP="00D72D02">
      <w:pPr>
        <w:rPr>
          <w:rFonts w:ascii="Times New Roman" w:hAnsi="Times New Roman" w:cs="Times New Roman"/>
          <w:bCs/>
        </w:rPr>
      </w:pPr>
      <w:r w:rsidRPr="000B0A60">
        <w:rPr>
          <w:rFonts w:ascii="Times New Roman" w:hAnsi="Times New Roman" w:cs="Times New Roman"/>
          <w:bCs/>
        </w:rPr>
        <w:t>The cost for an interpreter can be two or three times the amount the physician will be reimbursed by an insurance plan for t</w:t>
      </w:r>
      <w:r w:rsidR="00E82EFF">
        <w:rPr>
          <w:rFonts w:ascii="Times New Roman" w:hAnsi="Times New Roman" w:cs="Times New Roman"/>
          <w:bCs/>
        </w:rPr>
        <w:t>he office visit.  For example, many</w:t>
      </w:r>
      <w:r w:rsidRPr="000B0A60">
        <w:rPr>
          <w:rFonts w:ascii="Times New Roman" w:hAnsi="Times New Roman" w:cs="Times New Roman"/>
          <w:bCs/>
        </w:rPr>
        <w:t xml:space="preserve"> sign-language interpreter</w:t>
      </w:r>
      <w:r w:rsidR="00E82EFF">
        <w:rPr>
          <w:rFonts w:ascii="Times New Roman" w:hAnsi="Times New Roman" w:cs="Times New Roman"/>
          <w:bCs/>
        </w:rPr>
        <w:t>s charge</w:t>
      </w:r>
      <w:r w:rsidRPr="000B0A60">
        <w:rPr>
          <w:rFonts w:ascii="Times New Roman" w:hAnsi="Times New Roman" w:cs="Times New Roman"/>
          <w:bCs/>
        </w:rPr>
        <w:t xml:space="preserve"> $50 to $145 per hour with a two-hour minimum plus travel reimbursement.  Some language interpreters for the deaf make around $125 per hou</w:t>
      </w:r>
      <w:r w:rsidR="00E82EFF">
        <w:rPr>
          <w:rFonts w:ascii="Times New Roman" w:hAnsi="Times New Roman" w:cs="Times New Roman"/>
          <w:bCs/>
        </w:rPr>
        <w:t xml:space="preserve">r.  </w:t>
      </w:r>
      <w:r>
        <w:rPr>
          <w:rFonts w:ascii="Times New Roman" w:hAnsi="Times New Roman" w:cs="Times New Roman"/>
          <w:bCs/>
        </w:rPr>
        <w:t>Many physicians in rural areas report that</w:t>
      </w:r>
      <w:r w:rsidRPr="000B0A60">
        <w:rPr>
          <w:rFonts w:ascii="Times New Roman" w:hAnsi="Times New Roman" w:cs="Times New Roman"/>
          <w:bCs/>
        </w:rPr>
        <w:t xml:space="preserve"> medical interpreters are hard to locate or access</w:t>
      </w:r>
      <w:r>
        <w:rPr>
          <w:rFonts w:ascii="Times New Roman" w:hAnsi="Times New Roman" w:cs="Times New Roman"/>
          <w:bCs/>
        </w:rPr>
        <w:t xml:space="preserve">. </w:t>
      </w:r>
      <w:r w:rsidRPr="000B0A60">
        <w:rPr>
          <w:rFonts w:ascii="Times New Roman" w:hAnsi="Times New Roman" w:cs="Times New Roman"/>
          <w:bCs/>
        </w:rPr>
        <w:br/>
      </w:r>
    </w:p>
    <w:p w14:paraId="50A56DD3" w14:textId="4DB8027E" w:rsidR="00B8577B" w:rsidRPr="00170F6E" w:rsidRDefault="00D72D02" w:rsidP="00D72D02">
      <w:pPr>
        <w:rPr>
          <w:rFonts w:ascii="Times New Roman" w:hAnsi="Times New Roman" w:cs="Times New Roman"/>
          <w:bCs/>
        </w:rPr>
      </w:pPr>
      <w:r w:rsidRPr="000B0A60">
        <w:rPr>
          <w:rFonts w:ascii="Times New Roman" w:hAnsi="Times New Roman" w:cs="Times New Roman"/>
        </w:rPr>
        <w:t xml:space="preserve">Physicians are forced to bear the costs of providing special translation services without compensation.  The lack of Medicare compensation for these services creates incentives for physicians to limit their </w:t>
      </w:r>
      <w:r w:rsidRPr="00170F6E">
        <w:rPr>
          <w:rFonts w:ascii="Times New Roman" w:hAnsi="Times New Roman" w:cs="Times New Roman"/>
        </w:rPr>
        <w:t xml:space="preserve">services for Medicare beneficiaries with translation needs. </w:t>
      </w:r>
    </w:p>
    <w:p w14:paraId="7573233F" w14:textId="77777777" w:rsidR="00A4579B" w:rsidRPr="00170F6E" w:rsidRDefault="00A4579B" w:rsidP="00A4579B">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156"/>
      </w:tblGrid>
      <w:tr w:rsidR="00A4579B" w:rsidRPr="00170F6E" w14:paraId="0557EFB0" w14:textId="77777777" w:rsidTr="00A4579B">
        <w:tc>
          <w:tcPr>
            <w:tcW w:w="0" w:type="auto"/>
            <w:tcMar>
              <w:top w:w="0" w:type="dxa"/>
              <w:left w:w="75" w:type="dxa"/>
              <w:bottom w:w="0" w:type="dxa"/>
              <w:right w:w="75" w:type="dxa"/>
            </w:tcMar>
            <w:hideMark/>
          </w:tcPr>
          <w:p w14:paraId="1F3D14E9" w14:textId="77777777" w:rsidR="00A4579B" w:rsidRPr="00170F6E" w:rsidRDefault="00A4579B" w:rsidP="00014E42">
            <w:pPr>
              <w:rPr>
                <w:rFonts w:ascii="Times New Roman" w:hAnsi="Times New Roman" w:cs="Times New Roman"/>
              </w:rPr>
            </w:pPr>
          </w:p>
        </w:tc>
      </w:tr>
    </w:tbl>
    <w:p w14:paraId="1D97FE01" w14:textId="2A56567D" w:rsidR="00A907CC" w:rsidRPr="00170F6E" w:rsidRDefault="00B8577B" w:rsidP="00170F6E">
      <w:pPr>
        <w:pStyle w:val="p1"/>
        <w:rPr>
          <w:sz w:val="22"/>
          <w:szCs w:val="22"/>
        </w:rPr>
      </w:pPr>
      <w:r w:rsidRPr="00170F6E">
        <w:rPr>
          <w:b/>
          <w:sz w:val="22"/>
          <w:szCs w:val="22"/>
        </w:rPr>
        <w:t>Related Statute/Regulation:</w:t>
      </w:r>
      <w:r w:rsidR="00333450" w:rsidRPr="00170F6E">
        <w:rPr>
          <w:b/>
          <w:sz w:val="22"/>
          <w:szCs w:val="22"/>
        </w:rPr>
        <w:t xml:space="preserve"> </w:t>
      </w:r>
      <w:r w:rsidR="00D72D02" w:rsidRPr="00170F6E">
        <w:rPr>
          <w:sz w:val="22"/>
          <w:szCs w:val="22"/>
        </w:rPr>
        <w:t xml:space="preserve">42 USC 1395y (new legislation providing payment </w:t>
      </w:r>
      <w:r w:rsidR="00170F6E" w:rsidRPr="00170F6E">
        <w:rPr>
          <w:sz w:val="22"/>
          <w:szCs w:val="22"/>
        </w:rPr>
        <w:t>for translation services needed</w:t>
      </w:r>
      <w:r w:rsidR="00D72D02" w:rsidRPr="00170F6E">
        <w:rPr>
          <w:sz w:val="22"/>
          <w:szCs w:val="22"/>
        </w:rPr>
        <w:t xml:space="preserve"> </w:t>
      </w:r>
      <w:r w:rsidR="00170F6E" w:rsidRPr="00170F6E">
        <w:rPr>
          <w:sz w:val="22"/>
          <w:szCs w:val="22"/>
        </w:rPr>
        <w:t xml:space="preserve">; </w:t>
      </w:r>
      <w:r w:rsidR="00A907CC" w:rsidRPr="00170F6E">
        <w:rPr>
          <w:sz w:val="22"/>
          <w:szCs w:val="22"/>
        </w:rPr>
        <w:t xml:space="preserve">28 C.F.R. § 36.303 (c)  </w:t>
      </w:r>
    </w:p>
    <w:p w14:paraId="771FDB77" w14:textId="77777777" w:rsidR="00170F6E" w:rsidRDefault="00170F6E" w:rsidP="00333450">
      <w:pPr>
        <w:rPr>
          <w:rFonts w:ascii="Times New Roman" w:hAnsi="Times New Roman" w:cs="Times New Roman"/>
          <w:b/>
        </w:rPr>
      </w:pPr>
    </w:p>
    <w:p w14:paraId="4FFA560A" w14:textId="31A698A9" w:rsidR="00A907CC" w:rsidRDefault="00D72D02" w:rsidP="00A907CC">
      <w:pPr>
        <w:rPr>
          <w:rFonts w:ascii="Times New Roman" w:hAnsi="Times New Roman" w:cs="Times New Roman"/>
        </w:rPr>
      </w:pPr>
      <w:r w:rsidRPr="000B0A60">
        <w:rPr>
          <w:rFonts w:ascii="Times New Roman" w:hAnsi="Times New Roman" w:cs="Times New Roman"/>
          <w:b/>
        </w:rPr>
        <w:t>Proposed Solution</w:t>
      </w:r>
      <w:r w:rsidR="00A907CC">
        <w:rPr>
          <w:rFonts w:ascii="Times New Roman" w:hAnsi="Times New Roman" w:cs="Times New Roman"/>
          <w:b/>
        </w:rPr>
        <w:t>(s)</w:t>
      </w:r>
      <w:r w:rsidRPr="000B0A60">
        <w:rPr>
          <w:rFonts w:ascii="Times New Roman" w:hAnsi="Times New Roman" w:cs="Times New Roman"/>
          <w:b/>
        </w:rPr>
        <w:t xml:space="preserve">: </w:t>
      </w:r>
      <w:r w:rsidR="00A907CC">
        <w:rPr>
          <w:rFonts w:ascii="Times New Roman" w:hAnsi="Times New Roman" w:cs="Times New Roman"/>
        </w:rPr>
        <w:t>There are several possible solutions/policies that would ease the burden and cost to physician practices and improve access for pa</w:t>
      </w:r>
      <w:r w:rsidR="00E82EFF">
        <w:rPr>
          <w:rFonts w:ascii="Times New Roman" w:hAnsi="Times New Roman" w:cs="Times New Roman"/>
        </w:rPr>
        <w:t>tients with limited English prof</w:t>
      </w:r>
      <w:r w:rsidR="00A907CC">
        <w:rPr>
          <w:rFonts w:ascii="Times New Roman" w:hAnsi="Times New Roman" w:cs="Times New Roman"/>
        </w:rPr>
        <w:t xml:space="preserve">iciency or other disabilities that impede communication with their physicians. </w:t>
      </w:r>
    </w:p>
    <w:p w14:paraId="7EAF0CA0" w14:textId="271A69FE" w:rsidR="000B0A60" w:rsidRPr="00A907CC" w:rsidRDefault="00D72D02" w:rsidP="00A907CC">
      <w:pPr>
        <w:pStyle w:val="ListParagraph"/>
        <w:numPr>
          <w:ilvl w:val="0"/>
          <w:numId w:val="6"/>
        </w:numPr>
        <w:rPr>
          <w:rFonts w:ascii="Times New Roman" w:hAnsi="Times New Roman" w:cs="Times New Roman"/>
        </w:rPr>
      </w:pPr>
      <w:r w:rsidRPr="00A907CC">
        <w:rPr>
          <w:rFonts w:ascii="Times New Roman" w:hAnsi="Times New Roman" w:cs="Times New Roman"/>
        </w:rPr>
        <w:t>Medicare coverage laws should be amended to provide payments to physicians who treat patients requiring language assistance or sign interpretation. </w:t>
      </w:r>
      <w:r w:rsidR="00A907CC" w:rsidRPr="00A907CC">
        <w:rPr>
          <w:rFonts w:ascii="Times New Roman" w:hAnsi="Times New Roman" w:cs="Times New Roman"/>
          <w:u w:val="single"/>
        </w:rPr>
        <w:t xml:space="preserve"> </w:t>
      </w:r>
      <w:r w:rsidR="000B0A60" w:rsidRPr="00A907CC">
        <w:rPr>
          <w:rFonts w:ascii="Times New Roman" w:hAnsi="Times New Roman" w:cs="Times New Roman"/>
          <w:bCs/>
          <w:iCs/>
        </w:rPr>
        <w:br/>
      </w:r>
    </w:p>
    <w:p w14:paraId="1C843F54" w14:textId="37D253D6" w:rsidR="000B0A60" w:rsidRPr="000B0A60" w:rsidRDefault="000B0A60" w:rsidP="00975FDD">
      <w:pPr>
        <w:numPr>
          <w:ilvl w:val="0"/>
          <w:numId w:val="6"/>
        </w:numPr>
        <w:rPr>
          <w:rFonts w:ascii="Times New Roman" w:hAnsi="Times New Roman" w:cs="Times New Roman"/>
          <w:u w:val="single"/>
        </w:rPr>
      </w:pPr>
      <w:r w:rsidRPr="000B0A60">
        <w:rPr>
          <w:rFonts w:ascii="Times New Roman" w:hAnsi="Times New Roman" w:cs="Times New Roman"/>
          <w:bCs/>
          <w:iCs/>
        </w:rPr>
        <w:lastRenderedPageBreak/>
        <w:t>Increase the tax credit to 75% instead of 50% and remove the gross receipts and full-time employees ceiling.</w:t>
      </w:r>
      <w:r w:rsidR="00E82EFF" w:rsidRPr="000B0A60">
        <w:rPr>
          <w:rFonts w:ascii="Times New Roman" w:hAnsi="Times New Roman" w:cs="Times New Roman"/>
          <w:bCs/>
          <w:iCs/>
        </w:rPr>
        <w:t xml:space="preserve"> </w:t>
      </w:r>
      <w:r w:rsidRPr="000B0A60">
        <w:rPr>
          <w:rFonts w:ascii="Times New Roman" w:hAnsi="Times New Roman" w:cs="Times New Roman"/>
          <w:bCs/>
          <w:iCs/>
        </w:rPr>
        <w:br/>
      </w:r>
    </w:p>
    <w:p w14:paraId="187E2DE5" w14:textId="77777777" w:rsidR="000B0A60" w:rsidRPr="000B0A60" w:rsidRDefault="000B0A60" w:rsidP="00975FDD">
      <w:pPr>
        <w:numPr>
          <w:ilvl w:val="0"/>
          <w:numId w:val="6"/>
        </w:numPr>
        <w:rPr>
          <w:rFonts w:ascii="Times New Roman" w:hAnsi="Times New Roman" w:cs="Times New Roman"/>
          <w:u w:val="single"/>
        </w:rPr>
      </w:pPr>
      <w:r w:rsidRPr="000B0A60">
        <w:rPr>
          <w:rFonts w:ascii="Times New Roman" w:hAnsi="Times New Roman" w:cs="Times New Roman"/>
          <w:bCs/>
          <w:iCs/>
        </w:rPr>
        <w:t>Create a fund to which physicians may submit claims to receive reimbursement for the services of the interpreter.</w:t>
      </w:r>
      <w:r w:rsidRPr="000B0A60">
        <w:rPr>
          <w:rFonts w:ascii="Times New Roman" w:hAnsi="Times New Roman" w:cs="Times New Roman"/>
          <w:bCs/>
          <w:iCs/>
        </w:rPr>
        <w:br/>
      </w:r>
    </w:p>
    <w:p w14:paraId="3BB35C65" w14:textId="77777777" w:rsidR="000B0A60" w:rsidRPr="000B0A60" w:rsidRDefault="000B0A60" w:rsidP="00975FDD">
      <w:pPr>
        <w:numPr>
          <w:ilvl w:val="0"/>
          <w:numId w:val="6"/>
        </w:numPr>
        <w:rPr>
          <w:rFonts w:ascii="Times New Roman" w:hAnsi="Times New Roman" w:cs="Times New Roman"/>
          <w:u w:val="single"/>
        </w:rPr>
      </w:pPr>
      <w:r w:rsidRPr="000B0A60">
        <w:rPr>
          <w:rFonts w:ascii="Times New Roman" w:hAnsi="Times New Roman" w:cs="Times New Roman"/>
          <w:bCs/>
          <w:iCs/>
        </w:rPr>
        <w:t>Ease the rules to allow for family member interpreters and other less expensive options.</w:t>
      </w:r>
      <w:r w:rsidRPr="000B0A60">
        <w:rPr>
          <w:rFonts w:ascii="Times New Roman" w:hAnsi="Times New Roman" w:cs="Times New Roman"/>
          <w:bCs/>
          <w:iCs/>
        </w:rPr>
        <w:br/>
      </w:r>
    </w:p>
    <w:p w14:paraId="6AEC5CFD" w14:textId="77777777" w:rsidR="000B0A60" w:rsidRPr="000B0A60" w:rsidRDefault="000B0A60" w:rsidP="00975FDD">
      <w:pPr>
        <w:numPr>
          <w:ilvl w:val="0"/>
          <w:numId w:val="6"/>
        </w:numPr>
        <w:rPr>
          <w:rFonts w:ascii="Times New Roman" w:hAnsi="Times New Roman" w:cs="Times New Roman"/>
          <w:u w:val="single"/>
        </w:rPr>
      </w:pPr>
      <w:r w:rsidRPr="000B0A60">
        <w:rPr>
          <w:rFonts w:ascii="Times New Roman" w:hAnsi="Times New Roman" w:cs="Times New Roman"/>
          <w:bCs/>
          <w:iCs/>
        </w:rPr>
        <w:t>Create a fund that provides grants to physicians to install the technology for video remote interpreting services.</w:t>
      </w:r>
      <w:r w:rsidRPr="000B0A60">
        <w:rPr>
          <w:rFonts w:ascii="Times New Roman" w:hAnsi="Times New Roman" w:cs="Times New Roman"/>
          <w:bCs/>
          <w:iCs/>
        </w:rPr>
        <w:br/>
      </w:r>
    </w:p>
    <w:p w14:paraId="08B84EFF" w14:textId="77777777" w:rsidR="000B0A60" w:rsidRPr="000B0A60" w:rsidRDefault="000B0A60" w:rsidP="00975FDD">
      <w:pPr>
        <w:numPr>
          <w:ilvl w:val="0"/>
          <w:numId w:val="6"/>
        </w:numPr>
        <w:rPr>
          <w:rFonts w:ascii="Times New Roman" w:hAnsi="Times New Roman" w:cs="Times New Roman"/>
          <w:u w:val="single"/>
        </w:rPr>
      </w:pPr>
      <w:r w:rsidRPr="000B0A60">
        <w:rPr>
          <w:rFonts w:ascii="Times New Roman" w:hAnsi="Times New Roman" w:cs="Times New Roman"/>
          <w:bCs/>
          <w:iCs/>
        </w:rPr>
        <w:t xml:space="preserve">Provide incentive payments to medical practices and clinics to set up centers of excellence that can serve LEP and deaf patients and require health plans to include them in their networks. </w:t>
      </w:r>
    </w:p>
    <w:p w14:paraId="21BB547F" w14:textId="77777777" w:rsidR="000B0A60" w:rsidRPr="000B0A60" w:rsidRDefault="000B0A60" w:rsidP="000B0A60">
      <w:pPr>
        <w:rPr>
          <w:rFonts w:ascii="Times New Roman" w:hAnsi="Times New Roman" w:cs="Times New Roman"/>
          <w:bCs/>
        </w:rPr>
      </w:pPr>
    </w:p>
    <w:p w14:paraId="2AA54708" w14:textId="77777777" w:rsidR="000B0A60" w:rsidRPr="000B0A60" w:rsidRDefault="000B0A60" w:rsidP="000B0A60">
      <w:pPr>
        <w:rPr>
          <w:rFonts w:ascii="Times New Roman" w:hAnsi="Times New Roman" w:cs="Times New Roman"/>
        </w:rPr>
      </w:pPr>
    </w:p>
    <w:p w14:paraId="21A2CEE8" w14:textId="77777777" w:rsidR="000B0A60" w:rsidRPr="000B0A60" w:rsidRDefault="000B0A60" w:rsidP="000B0A60">
      <w:pPr>
        <w:rPr>
          <w:rFonts w:ascii="Times New Roman" w:hAnsi="Times New Roman" w:cs="Times New Roman"/>
        </w:rPr>
      </w:pPr>
    </w:p>
    <w:p w14:paraId="7DE85B51" w14:textId="77777777" w:rsidR="000B0A60" w:rsidRPr="000B0A60" w:rsidRDefault="000B0A60" w:rsidP="000B0A60">
      <w:pPr>
        <w:rPr>
          <w:rFonts w:ascii="Times New Roman" w:hAnsi="Times New Roman" w:cs="Times New Roman"/>
        </w:rPr>
      </w:pPr>
    </w:p>
    <w:p w14:paraId="560425BD" w14:textId="77777777" w:rsidR="000B0A60" w:rsidRPr="000B0A60" w:rsidRDefault="000B0A60" w:rsidP="000B0A60">
      <w:pPr>
        <w:rPr>
          <w:rFonts w:ascii="Times New Roman" w:hAnsi="Times New Roman" w:cs="Times New Roman"/>
        </w:rPr>
      </w:pPr>
    </w:p>
    <w:p w14:paraId="20F15B44" w14:textId="206E6423" w:rsidR="00333450" w:rsidRPr="000B0A60" w:rsidRDefault="00333450" w:rsidP="00333450">
      <w:pPr>
        <w:rPr>
          <w:rFonts w:ascii="Times New Roman" w:hAnsi="Times New Roman" w:cs="Times New Roman"/>
        </w:rPr>
      </w:pPr>
    </w:p>
    <w:p w14:paraId="0AC3D969" w14:textId="77777777" w:rsidR="004E1582" w:rsidRPr="000B0A60" w:rsidRDefault="004E1582" w:rsidP="004E1582">
      <w:pPr>
        <w:pStyle w:val="p1"/>
        <w:rPr>
          <w:sz w:val="22"/>
          <w:szCs w:val="22"/>
        </w:rPr>
      </w:pPr>
    </w:p>
    <w:tbl>
      <w:tblPr>
        <w:tblW w:w="9875" w:type="dxa"/>
        <w:tblCellMar>
          <w:left w:w="0" w:type="dxa"/>
          <w:right w:w="0" w:type="dxa"/>
        </w:tblCellMar>
        <w:tblLook w:val="04A0" w:firstRow="1" w:lastRow="0" w:firstColumn="1" w:lastColumn="0" w:noHBand="0" w:noVBand="1"/>
      </w:tblPr>
      <w:tblGrid>
        <w:gridCol w:w="4740"/>
        <w:gridCol w:w="170"/>
        <w:gridCol w:w="4512"/>
        <w:gridCol w:w="453"/>
      </w:tblGrid>
      <w:tr w:rsidR="004E1582" w:rsidRPr="000B0A60" w14:paraId="181CA04F" w14:textId="77777777" w:rsidTr="00333450">
        <w:trPr>
          <w:gridAfter w:val="3"/>
          <w:wAfter w:w="5135" w:type="dxa"/>
        </w:trPr>
        <w:tc>
          <w:tcPr>
            <w:tcW w:w="0" w:type="auto"/>
            <w:tcMar>
              <w:top w:w="0" w:type="dxa"/>
              <w:left w:w="75" w:type="dxa"/>
              <w:bottom w:w="0" w:type="dxa"/>
              <w:right w:w="75" w:type="dxa"/>
            </w:tcMar>
            <w:hideMark/>
          </w:tcPr>
          <w:p w14:paraId="16783A52" w14:textId="028940F1" w:rsidR="004E1582" w:rsidRPr="00975FDD" w:rsidRDefault="004E1582" w:rsidP="00975FDD">
            <w:pPr>
              <w:rPr>
                <w:rFonts w:ascii="Times New Roman" w:hAnsi="Times New Roman" w:cs="Times New Roman"/>
              </w:rPr>
            </w:pPr>
          </w:p>
          <w:p w14:paraId="39B2B6D3" w14:textId="77777777" w:rsidR="004E1582" w:rsidRPr="000B0A60" w:rsidRDefault="004E1582" w:rsidP="00333450">
            <w:pPr>
              <w:pStyle w:val="ListParagraph"/>
              <w:rPr>
                <w:rFonts w:ascii="Times New Roman" w:hAnsi="Times New Roman" w:cs="Times New Roman"/>
              </w:rPr>
            </w:pPr>
          </w:p>
        </w:tc>
      </w:tr>
      <w:tr w:rsidR="00333450" w:rsidRPr="000B0A60" w14:paraId="55A256AF" w14:textId="77777777" w:rsidTr="00D72D02">
        <w:trPr>
          <w:trHeight w:val="1548"/>
        </w:trPr>
        <w:tc>
          <w:tcPr>
            <w:tcW w:w="0" w:type="auto"/>
            <w:tcMar>
              <w:top w:w="0" w:type="dxa"/>
              <w:left w:w="75" w:type="dxa"/>
              <w:bottom w:w="0" w:type="dxa"/>
              <w:right w:w="75" w:type="dxa"/>
            </w:tcMar>
          </w:tcPr>
          <w:tbl>
            <w:tblPr>
              <w:tblW w:w="0" w:type="auto"/>
              <w:tblCellMar>
                <w:left w:w="0" w:type="dxa"/>
                <w:right w:w="0" w:type="dxa"/>
              </w:tblCellMar>
              <w:tblLook w:val="04A0" w:firstRow="1" w:lastRow="0" w:firstColumn="1" w:lastColumn="0" w:noHBand="0" w:noVBand="1"/>
            </w:tblPr>
            <w:tblGrid>
              <w:gridCol w:w="170"/>
              <w:gridCol w:w="170"/>
              <w:gridCol w:w="156"/>
              <w:gridCol w:w="156"/>
            </w:tblGrid>
            <w:tr w:rsidR="00D72D02" w:rsidRPr="000B0A60" w14:paraId="2D8005A6" w14:textId="77777777" w:rsidTr="00975FDD">
              <w:trPr>
                <w:gridAfter w:val="3"/>
                <w:wAfter w:w="482" w:type="dxa"/>
                <w:trHeight w:val="4626"/>
              </w:trPr>
              <w:tc>
                <w:tcPr>
                  <w:tcW w:w="170" w:type="dxa"/>
                  <w:tcMar>
                    <w:top w:w="0" w:type="dxa"/>
                    <w:left w:w="75" w:type="dxa"/>
                    <w:bottom w:w="0" w:type="dxa"/>
                    <w:right w:w="75" w:type="dxa"/>
                  </w:tcMar>
                  <w:hideMark/>
                </w:tcPr>
                <w:p w14:paraId="1DFF11EC" w14:textId="77777777" w:rsidR="00D72D02" w:rsidRPr="000B0A60" w:rsidRDefault="00D72D02" w:rsidP="00D72D02">
                  <w:pPr>
                    <w:rPr>
                      <w:rFonts w:ascii="Times New Roman" w:hAnsi="Times New Roman" w:cs="Times New Roman"/>
                      <w:sz w:val="17"/>
                      <w:szCs w:val="17"/>
                    </w:rPr>
                  </w:pPr>
                </w:p>
              </w:tc>
            </w:tr>
            <w:tr w:rsidR="00D72D02" w:rsidRPr="000B0A60" w14:paraId="10F088FC" w14:textId="77777777" w:rsidTr="00975FDD">
              <w:trPr>
                <w:trHeight w:val="162"/>
              </w:trPr>
              <w:tc>
                <w:tcPr>
                  <w:tcW w:w="170" w:type="dxa"/>
                  <w:tcMar>
                    <w:top w:w="0" w:type="dxa"/>
                    <w:left w:w="75" w:type="dxa"/>
                    <w:bottom w:w="0" w:type="dxa"/>
                    <w:right w:w="75" w:type="dxa"/>
                  </w:tcMar>
                </w:tcPr>
                <w:p w14:paraId="23657411" w14:textId="488B2E31" w:rsidR="00D72D02" w:rsidRPr="000B0A60" w:rsidRDefault="00D72D02" w:rsidP="00A45C2A">
                  <w:pPr>
                    <w:rPr>
                      <w:rFonts w:ascii="Times New Roman" w:hAnsi="Times New Roman" w:cs="Times New Roman"/>
                      <w:sz w:val="17"/>
                      <w:szCs w:val="17"/>
                    </w:rPr>
                  </w:pPr>
                </w:p>
              </w:tc>
              <w:tc>
                <w:tcPr>
                  <w:tcW w:w="170" w:type="dxa"/>
                  <w:tcMar>
                    <w:top w:w="0" w:type="dxa"/>
                    <w:left w:w="75" w:type="dxa"/>
                    <w:bottom w:w="0" w:type="dxa"/>
                    <w:right w:w="75" w:type="dxa"/>
                  </w:tcMar>
                </w:tcPr>
                <w:p w14:paraId="4F8C5CDF" w14:textId="77777777" w:rsidR="00D72D02" w:rsidRPr="000B0A60" w:rsidRDefault="00D72D02" w:rsidP="00A45C2A">
                  <w:pPr>
                    <w:rPr>
                      <w:rFonts w:ascii="Times New Roman" w:hAnsi="Times New Roman" w:cs="Times New Roman"/>
                      <w:sz w:val="17"/>
                      <w:szCs w:val="17"/>
                    </w:rPr>
                  </w:pPr>
                </w:p>
              </w:tc>
              <w:tc>
                <w:tcPr>
                  <w:tcW w:w="0" w:type="auto"/>
                  <w:tcMar>
                    <w:top w:w="0" w:type="dxa"/>
                    <w:left w:w="75" w:type="dxa"/>
                    <w:bottom w:w="0" w:type="dxa"/>
                    <w:right w:w="75" w:type="dxa"/>
                  </w:tcMar>
                </w:tcPr>
                <w:p w14:paraId="530D7F49" w14:textId="77777777" w:rsidR="00D72D02" w:rsidRPr="000B0A60" w:rsidRDefault="00D72D02" w:rsidP="00A45C2A">
                  <w:pPr>
                    <w:rPr>
                      <w:rFonts w:ascii="Times New Roman" w:hAnsi="Times New Roman" w:cs="Times New Roman"/>
                      <w:sz w:val="17"/>
                      <w:szCs w:val="17"/>
                    </w:rPr>
                  </w:pPr>
                </w:p>
              </w:tc>
              <w:tc>
                <w:tcPr>
                  <w:tcW w:w="0" w:type="auto"/>
                  <w:tcMar>
                    <w:top w:w="0" w:type="dxa"/>
                    <w:left w:w="75" w:type="dxa"/>
                    <w:bottom w:w="0" w:type="dxa"/>
                    <w:right w:w="75" w:type="dxa"/>
                  </w:tcMar>
                </w:tcPr>
                <w:p w14:paraId="30363B51" w14:textId="77777777" w:rsidR="00D72D02" w:rsidRPr="000B0A60" w:rsidRDefault="00D72D02" w:rsidP="00A45C2A">
                  <w:pPr>
                    <w:rPr>
                      <w:rFonts w:ascii="Times New Roman" w:hAnsi="Times New Roman" w:cs="Times New Roman"/>
                      <w:sz w:val="17"/>
                      <w:szCs w:val="17"/>
                    </w:rPr>
                  </w:pPr>
                </w:p>
              </w:tc>
            </w:tr>
          </w:tbl>
          <w:p w14:paraId="179250F7" w14:textId="77777777" w:rsidR="00333450" w:rsidRPr="000B0A60" w:rsidRDefault="00333450" w:rsidP="00333450">
            <w:pPr>
              <w:rPr>
                <w:rFonts w:ascii="Times New Roman" w:hAnsi="Times New Roman" w:cs="Times New Roman"/>
              </w:rPr>
            </w:pPr>
          </w:p>
        </w:tc>
        <w:tc>
          <w:tcPr>
            <w:tcW w:w="170" w:type="dxa"/>
            <w:tcMar>
              <w:top w:w="0" w:type="dxa"/>
              <w:left w:w="75" w:type="dxa"/>
              <w:bottom w:w="0" w:type="dxa"/>
              <w:right w:w="75" w:type="dxa"/>
            </w:tcMar>
            <w:hideMark/>
          </w:tcPr>
          <w:p w14:paraId="18A8BB1A" w14:textId="77226EA1" w:rsidR="00333450" w:rsidRPr="000B0A60" w:rsidRDefault="00333450" w:rsidP="00333450">
            <w:pPr>
              <w:rPr>
                <w:rFonts w:ascii="Times New Roman" w:hAnsi="Times New Roman" w:cs="Times New Roman"/>
              </w:rPr>
            </w:pPr>
          </w:p>
          <w:p w14:paraId="1C1EA585" w14:textId="77777777" w:rsidR="00333450" w:rsidRPr="000B0A60" w:rsidRDefault="00333450" w:rsidP="00333450">
            <w:pPr>
              <w:rPr>
                <w:rFonts w:ascii="Times New Roman" w:hAnsi="Times New Roman" w:cs="Times New Roman"/>
              </w:rPr>
            </w:pPr>
          </w:p>
        </w:tc>
        <w:tc>
          <w:tcPr>
            <w:tcW w:w="4512" w:type="dxa"/>
            <w:tcMar>
              <w:top w:w="0" w:type="dxa"/>
              <w:left w:w="75" w:type="dxa"/>
              <w:bottom w:w="0" w:type="dxa"/>
              <w:right w:w="75" w:type="dxa"/>
            </w:tcMar>
            <w:hideMark/>
          </w:tcPr>
          <w:p w14:paraId="5EC0A752" w14:textId="77777777" w:rsidR="00333450" w:rsidRPr="000B0A60" w:rsidRDefault="00333450" w:rsidP="00333450">
            <w:pPr>
              <w:rPr>
                <w:rFonts w:ascii="Times New Roman" w:hAnsi="Times New Roman" w:cs="Times New Roman"/>
              </w:rPr>
            </w:pPr>
          </w:p>
          <w:p w14:paraId="6B3A034D" w14:textId="77777777" w:rsidR="00333450" w:rsidRPr="000B0A60" w:rsidRDefault="00333450" w:rsidP="00333450">
            <w:pPr>
              <w:rPr>
                <w:rFonts w:ascii="Times New Roman" w:hAnsi="Times New Roman" w:cs="Times New Roman"/>
              </w:rPr>
            </w:pPr>
          </w:p>
        </w:tc>
        <w:tc>
          <w:tcPr>
            <w:tcW w:w="453" w:type="dxa"/>
            <w:tcMar>
              <w:top w:w="0" w:type="dxa"/>
              <w:left w:w="75" w:type="dxa"/>
              <w:bottom w:w="0" w:type="dxa"/>
              <w:right w:w="75" w:type="dxa"/>
            </w:tcMar>
            <w:hideMark/>
          </w:tcPr>
          <w:p w14:paraId="2B9D8920" w14:textId="089E6C23" w:rsidR="00333450" w:rsidRPr="000B0A60" w:rsidRDefault="00333450" w:rsidP="00333450">
            <w:pPr>
              <w:rPr>
                <w:rFonts w:ascii="Times New Roman" w:hAnsi="Times New Roman" w:cs="Times New Roman"/>
              </w:rPr>
            </w:pPr>
            <w:r w:rsidRPr="000B0A60">
              <w:rPr>
                <w:rFonts w:ascii="Times New Roman" w:hAnsi="Times New Roman" w:cs="Times New Roman"/>
              </w:rPr>
              <w:t>.</w:t>
            </w:r>
          </w:p>
        </w:tc>
      </w:tr>
    </w:tbl>
    <w:p w14:paraId="134612E8" w14:textId="77777777" w:rsidR="004E1582" w:rsidRPr="00333450" w:rsidRDefault="004E1582" w:rsidP="00B8577B">
      <w:pPr>
        <w:rPr>
          <w:rFonts w:ascii="Arial" w:hAnsi="Arial" w:cs="Arial"/>
        </w:rPr>
      </w:pPr>
    </w:p>
    <w:sectPr w:rsidR="004E1582" w:rsidRPr="00333450" w:rsidSect="00170F6E">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575B4" w14:textId="77777777" w:rsidR="00744274" w:rsidRDefault="00744274" w:rsidP="000B0A60">
      <w:r>
        <w:separator/>
      </w:r>
    </w:p>
  </w:endnote>
  <w:endnote w:type="continuationSeparator" w:id="0">
    <w:p w14:paraId="071BD711" w14:textId="77777777" w:rsidR="00744274" w:rsidRDefault="00744274" w:rsidP="000B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97B52" w14:textId="77777777" w:rsidR="00744274" w:rsidRDefault="00744274" w:rsidP="000B0A60">
      <w:r>
        <w:separator/>
      </w:r>
    </w:p>
  </w:footnote>
  <w:footnote w:type="continuationSeparator" w:id="0">
    <w:p w14:paraId="0C0E963B" w14:textId="77777777" w:rsidR="00744274" w:rsidRDefault="00744274" w:rsidP="000B0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369"/>
    <w:multiLevelType w:val="hybridMultilevel"/>
    <w:tmpl w:val="FCC26B5C"/>
    <w:lvl w:ilvl="0" w:tplc="53FC83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7302"/>
    <w:multiLevelType w:val="hybridMultilevel"/>
    <w:tmpl w:val="E73C8B26"/>
    <w:lvl w:ilvl="0" w:tplc="53FC83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C4E1F"/>
    <w:multiLevelType w:val="hybridMultilevel"/>
    <w:tmpl w:val="761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E1CAE"/>
    <w:multiLevelType w:val="hybridMultilevel"/>
    <w:tmpl w:val="29027C46"/>
    <w:lvl w:ilvl="0" w:tplc="53FC834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009A2"/>
    <w:multiLevelType w:val="hybridMultilevel"/>
    <w:tmpl w:val="7788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254C9"/>
    <w:multiLevelType w:val="hybridMultilevel"/>
    <w:tmpl w:val="B8868A3A"/>
    <w:lvl w:ilvl="0" w:tplc="53FC83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7B"/>
    <w:rsid w:val="00014E42"/>
    <w:rsid w:val="000B0A60"/>
    <w:rsid w:val="00170F6E"/>
    <w:rsid w:val="001B3E17"/>
    <w:rsid w:val="00333450"/>
    <w:rsid w:val="004E1582"/>
    <w:rsid w:val="005C6F01"/>
    <w:rsid w:val="00684692"/>
    <w:rsid w:val="00701B17"/>
    <w:rsid w:val="00744274"/>
    <w:rsid w:val="00975FDD"/>
    <w:rsid w:val="00A4579B"/>
    <w:rsid w:val="00A45C2A"/>
    <w:rsid w:val="00A907CC"/>
    <w:rsid w:val="00B8577B"/>
    <w:rsid w:val="00C707C8"/>
    <w:rsid w:val="00CD3C9E"/>
    <w:rsid w:val="00D72D02"/>
    <w:rsid w:val="00E178BE"/>
    <w:rsid w:val="00E8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9316"/>
  <w15:docId w15:val="{2E1EA086-FE47-46E8-8D74-06FD93BC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577B"/>
    <w:rPr>
      <w:color w:val="0000FF"/>
      <w:u w:val="single"/>
    </w:rPr>
  </w:style>
  <w:style w:type="paragraph" w:styleId="DocumentMap">
    <w:name w:val="Document Map"/>
    <w:basedOn w:val="Normal"/>
    <w:link w:val="DocumentMapChar"/>
    <w:uiPriority w:val="99"/>
    <w:semiHidden/>
    <w:unhideWhenUsed/>
    <w:rsid w:val="00A4579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4579B"/>
    <w:rPr>
      <w:rFonts w:ascii="Times New Roman" w:hAnsi="Times New Roman" w:cs="Times New Roman"/>
      <w:sz w:val="24"/>
      <w:szCs w:val="24"/>
    </w:rPr>
  </w:style>
  <w:style w:type="paragraph" w:customStyle="1" w:styleId="p1">
    <w:name w:val="p1"/>
    <w:basedOn w:val="Normal"/>
    <w:rsid w:val="00A4579B"/>
    <w:rPr>
      <w:rFonts w:ascii="Times New Roman" w:hAnsi="Times New Roman" w:cs="Times New Roman"/>
      <w:sz w:val="18"/>
      <w:szCs w:val="18"/>
    </w:rPr>
  </w:style>
  <w:style w:type="paragraph" w:customStyle="1" w:styleId="p2">
    <w:name w:val="p2"/>
    <w:basedOn w:val="Normal"/>
    <w:rsid w:val="00A4579B"/>
    <w:rPr>
      <w:rFonts w:ascii="Times New Roman" w:hAnsi="Times New Roman" w:cs="Times New Roman"/>
      <w:sz w:val="17"/>
      <w:szCs w:val="17"/>
    </w:rPr>
  </w:style>
  <w:style w:type="paragraph" w:customStyle="1" w:styleId="p3">
    <w:name w:val="p3"/>
    <w:basedOn w:val="Normal"/>
    <w:rsid w:val="00A4579B"/>
    <w:rPr>
      <w:rFonts w:ascii="Times New Roman" w:hAnsi="Times New Roman" w:cs="Times New Roman"/>
      <w:sz w:val="17"/>
      <w:szCs w:val="17"/>
    </w:rPr>
  </w:style>
  <w:style w:type="character" w:customStyle="1" w:styleId="apple-converted-space">
    <w:name w:val="apple-converted-space"/>
    <w:basedOn w:val="DefaultParagraphFont"/>
    <w:rsid w:val="00A4579B"/>
  </w:style>
  <w:style w:type="paragraph" w:styleId="ListParagraph">
    <w:name w:val="List Paragraph"/>
    <w:basedOn w:val="Normal"/>
    <w:uiPriority w:val="34"/>
    <w:qFormat/>
    <w:rsid w:val="00A4579B"/>
    <w:pPr>
      <w:ind w:left="720"/>
      <w:contextualSpacing/>
    </w:pPr>
  </w:style>
  <w:style w:type="paragraph" w:styleId="EndnoteText">
    <w:name w:val="endnote text"/>
    <w:basedOn w:val="Normal"/>
    <w:link w:val="EndnoteTextChar"/>
    <w:uiPriority w:val="99"/>
    <w:unhideWhenUsed/>
    <w:rsid w:val="000B0A60"/>
    <w:rPr>
      <w:sz w:val="24"/>
      <w:szCs w:val="24"/>
    </w:rPr>
  </w:style>
  <w:style w:type="character" w:customStyle="1" w:styleId="EndnoteTextChar">
    <w:name w:val="Endnote Text Char"/>
    <w:basedOn w:val="DefaultParagraphFont"/>
    <w:link w:val="EndnoteText"/>
    <w:uiPriority w:val="99"/>
    <w:rsid w:val="000B0A60"/>
    <w:rPr>
      <w:sz w:val="24"/>
      <w:szCs w:val="24"/>
    </w:rPr>
  </w:style>
  <w:style w:type="character" w:styleId="EndnoteReference">
    <w:name w:val="endnote reference"/>
    <w:basedOn w:val="DefaultParagraphFont"/>
    <w:uiPriority w:val="99"/>
    <w:semiHidden/>
    <w:unhideWhenUsed/>
    <w:rsid w:val="000B0A60"/>
    <w:rPr>
      <w:vertAlign w:val="superscript"/>
    </w:rPr>
  </w:style>
  <w:style w:type="character" w:styleId="FollowedHyperlink">
    <w:name w:val="FollowedHyperlink"/>
    <w:basedOn w:val="DefaultParagraphFont"/>
    <w:uiPriority w:val="99"/>
    <w:semiHidden/>
    <w:unhideWhenUsed/>
    <w:rsid w:val="00A90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4688">
      <w:bodyDiv w:val="1"/>
      <w:marLeft w:val="0"/>
      <w:marRight w:val="0"/>
      <w:marTop w:val="0"/>
      <w:marBottom w:val="0"/>
      <w:divBdr>
        <w:top w:val="none" w:sz="0" w:space="0" w:color="auto"/>
        <w:left w:val="none" w:sz="0" w:space="0" w:color="auto"/>
        <w:bottom w:val="none" w:sz="0" w:space="0" w:color="auto"/>
        <w:right w:val="none" w:sz="0" w:space="0" w:color="auto"/>
      </w:divBdr>
    </w:div>
    <w:div w:id="143011763">
      <w:bodyDiv w:val="1"/>
      <w:marLeft w:val="0"/>
      <w:marRight w:val="0"/>
      <w:marTop w:val="0"/>
      <w:marBottom w:val="0"/>
      <w:divBdr>
        <w:top w:val="none" w:sz="0" w:space="0" w:color="auto"/>
        <w:left w:val="none" w:sz="0" w:space="0" w:color="auto"/>
        <w:bottom w:val="none" w:sz="0" w:space="0" w:color="auto"/>
        <w:right w:val="none" w:sz="0" w:space="0" w:color="auto"/>
      </w:divBdr>
    </w:div>
    <w:div w:id="617033168">
      <w:bodyDiv w:val="1"/>
      <w:marLeft w:val="0"/>
      <w:marRight w:val="0"/>
      <w:marTop w:val="0"/>
      <w:marBottom w:val="0"/>
      <w:divBdr>
        <w:top w:val="none" w:sz="0" w:space="0" w:color="auto"/>
        <w:left w:val="none" w:sz="0" w:space="0" w:color="auto"/>
        <w:bottom w:val="none" w:sz="0" w:space="0" w:color="auto"/>
        <w:right w:val="none" w:sz="0" w:space="0" w:color="auto"/>
      </w:divBdr>
    </w:div>
    <w:div w:id="1528368154">
      <w:bodyDiv w:val="1"/>
      <w:marLeft w:val="0"/>
      <w:marRight w:val="0"/>
      <w:marTop w:val="0"/>
      <w:marBottom w:val="0"/>
      <w:divBdr>
        <w:top w:val="none" w:sz="0" w:space="0" w:color="auto"/>
        <w:left w:val="none" w:sz="0" w:space="0" w:color="auto"/>
        <w:bottom w:val="none" w:sz="0" w:space="0" w:color="auto"/>
        <w:right w:val="none" w:sz="0" w:space="0" w:color="auto"/>
      </w:divBdr>
    </w:div>
    <w:div w:id="1775520121">
      <w:bodyDiv w:val="1"/>
      <w:marLeft w:val="0"/>
      <w:marRight w:val="0"/>
      <w:marTop w:val="0"/>
      <w:marBottom w:val="0"/>
      <w:divBdr>
        <w:top w:val="none" w:sz="0" w:space="0" w:color="auto"/>
        <w:left w:val="none" w:sz="0" w:space="0" w:color="auto"/>
        <w:bottom w:val="none" w:sz="0" w:space="0" w:color="auto"/>
        <w:right w:val="none" w:sz="0" w:space="0" w:color="auto"/>
      </w:divBdr>
    </w:div>
    <w:div w:id="19255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Abramson</dc:creator>
  <cp:lastModifiedBy>Elaine Ellis</cp:lastModifiedBy>
  <cp:revision>2</cp:revision>
  <dcterms:created xsi:type="dcterms:W3CDTF">2017-09-05T14:12:00Z</dcterms:created>
  <dcterms:modified xsi:type="dcterms:W3CDTF">2017-09-05T14:12:00Z</dcterms:modified>
</cp:coreProperties>
</file>