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57" w:rsidRPr="00292457" w:rsidRDefault="00292457" w:rsidP="00292457">
      <w:pPr>
        <w:shd w:val="clear" w:color="auto" w:fill="FFFFFF"/>
        <w:spacing w:before="161" w:after="161" w:line="240" w:lineRule="auto"/>
        <w:outlineLvl w:val="0"/>
        <w:rPr>
          <w:rFonts w:ascii="Open Sans" w:eastAsia="Times New Roman" w:hAnsi="Open Sans" w:cs="Open Sans"/>
          <w:b/>
          <w:color w:val="55616D"/>
          <w:kern w:val="36"/>
          <w:sz w:val="24"/>
          <w:szCs w:val="24"/>
        </w:rPr>
      </w:pPr>
      <w:r w:rsidRPr="00292457">
        <w:rPr>
          <w:rFonts w:ascii="Open Sans" w:eastAsia="Times New Roman" w:hAnsi="Open Sans" w:cs="Open Sans"/>
          <w:b/>
          <w:color w:val="55616D"/>
          <w:kern w:val="36"/>
          <w:sz w:val="24"/>
          <w:szCs w:val="24"/>
        </w:rPr>
        <w:t>MACRA Glossary of Acronyms and Terms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8E908F"/>
          <w:sz w:val="24"/>
          <w:szCs w:val="24"/>
        </w:rPr>
      </w:pPr>
      <w:r w:rsidRPr="00292457">
        <w:rPr>
          <w:rFonts w:ascii="Open Sans" w:eastAsia="Times New Roman" w:hAnsi="Open Sans" w:cs="Open Sans"/>
          <w:color w:val="8E908F"/>
          <w:sz w:val="24"/>
          <w:szCs w:val="24"/>
        </w:rPr>
        <w:t>This glossary attempts to cut through all the alphabet soup of commonly used terms of/or related to the MACRA legislation, including the term “MACRA” itself.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color w:val="55616D"/>
          <w:sz w:val="24"/>
          <w:szCs w:val="24"/>
        </w:rPr>
        <w:t>Some of the words or acronyms pre-date the </w:t>
      </w:r>
      <w:hyperlink r:id="rId5" w:history="1">
        <w:r w:rsidRPr="00292457">
          <w:rPr>
            <w:rFonts w:ascii="Open Sans" w:eastAsia="Times New Roman" w:hAnsi="Open Sans" w:cs="Open Sans"/>
            <w:color w:val="00A0DF"/>
            <w:sz w:val="24"/>
            <w:szCs w:val="24"/>
          </w:rPr>
          <w:t>MACRA</w:t>
        </w:r>
      </w:hyperlink>
      <w:r w:rsidRPr="00292457">
        <w:rPr>
          <w:rFonts w:ascii="Open Sans" w:eastAsia="Times New Roman" w:hAnsi="Open Sans" w:cs="Open Sans"/>
          <w:color w:val="55616D"/>
          <w:sz w:val="24"/>
          <w:szCs w:val="24"/>
        </w:rPr>
        <w:t> legislation but all are related in some way to the law and its future implementation.  The terms are listed in alphabetic order (based on the letters in the acronym itself, not the words for which the acronym stands).  If one term refers to another term or acronym, it will be included in this glossary. Where available, links are provided to CMS web pages that provide further details.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ACA  </w:t>
      </w:r>
      <w:r w:rsidRPr="00292457">
        <w:rPr>
          <w:rFonts w:ascii="Open Sans" w:eastAsia="Times New Roman" w:hAnsi="Open Sans" w:cs="Open Sans"/>
          <w:color w:val="55616D"/>
          <w:sz w:val="24"/>
          <w:szCs w:val="24"/>
        </w:rPr>
        <w:t>(Affordable Care Act) - Officially called the Patient Protection and Affordable Care Act of 2010, and also known as “Obamacare,” this massive legislation effective included many parts, some of which are defined herein.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ACI</w:t>
      </w:r>
      <w:r w:rsidRPr="00292457">
        <w:rPr>
          <w:rFonts w:ascii="Open Sans" w:eastAsia="Times New Roman" w:hAnsi="Open Sans" w:cs="Open Sans"/>
          <w:color w:val="55616D"/>
          <w:sz w:val="24"/>
          <w:szCs w:val="24"/>
        </w:rPr>
        <w:t> (Advancing Care Information) - This is what was formerly known as Meaningful Use and covers the technological aspects of MIPS.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ACO</w:t>
      </w:r>
      <w:proofErr w:type="gramStart"/>
      <w:r w:rsidRPr="00292457">
        <w:rPr>
          <w:rFonts w:ascii="Open Sans" w:eastAsia="Times New Roman" w:hAnsi="Open Sans" w:cs="Open Sans"/>
          <w:color w:val="55616D"/>
          <w:sz w:val="24"/>
          <w:szCs w:val="24"/>
        </w:rPr>
        <w:t>  (</w:t>
      </w:r>
      <w:proofErr w:type="gramEnd"/>
      <w:r w:rsidRPr="00292457">
        <w:rPr>
          <w:rFonts w:ascii="Open Sans" w:eastAsia="Times New Roman" w:hAnsi="Open Sans" w:cs="Open Sans"/>
          <w:color w:val="55616D"/>
          <w:sz w:val="24"/>
          <w:szCs w:val="24"/>
        </w:rPr>
        <w:fldChar w:fldCharType="begin"/>
      </w:r>
      <w:r w:rsidRPr="00292457">
        <w:rPr>
          <w:rFonts w:ascii="Open Sans" w:eastAsia="Times New Roman" w:hAnsi="Open Sans" w:cs="Open Sans"/>
          <w:color w:val="55616D"/>
          <w:sz w:val="24"/>
          <w:szCs w:val="24"/>
        </w:rPr>
        <w:instrText xml:space="preserve"> HYPERLINK "https://www.cms.gov/Medicare/Medicare-Fee-for-Service-Payment/ACO/index.html?redirect=/aco" \t "_blank" </w:instrText>
      </w:r>
      <w:r w:rsidRPr="00292457">
        <w:rPr>
          <w:rFonts w:ascii="Open Sans" w:eastAsia="Times New Roman" w:hAnsi="Open Sans" w:cs="Open Sans"/>
          <w:color w:val="55616D"/>
          <w:sz w:val="24"/>
          <w:szCs w:val="24"/>
        </w:rPr>
        <w:fldChar w:fldCharType="separate"/>
      </w:r>
      <w:r w:rsidRPr="00292457">
        <w:rPr>
          <w:rFonts w:ascii="Open Sans" w:eastAsia="Times New Roman" w:hAnsi="Open Sans" w:cs="Open Sans"/>
          <w:color w:val="00A0DF"/>
          <w:sz w:val="24"/>
          <w:szCs w:val="24"/>
        </w:rPr>
        <w:t>Accountable Care Organization</w:t>
      </w:r>
      <w:r w:rsidRPr="00292457">
        <w:rPr>
          <w:rFonts w:ascii="Open Sans" w:eastAsia="Times New Roman" w:hAnsi="Open Sans" w:cs="Open Sans"/>
          <w:color w:val="55616D"/>
          <w:sz w:val="24"/>
          <w:szCs w:val="24"/>
        </w:rPr>
        <w:fldChar w:fldCharType="end"/>
      </w:r>
      <w:r w:rsidRPr="00292457">
        <w:rPr>
          <w:rFonts w:ascii="Open Sans" w:eastAsia="Times New Roman" w:hAnsi="Open Sans" w:cs="Open Sans"/>
          <w:color w:val="55616D"/>
          <w:sz w:val="24"/>
          <w:szCs w:val="24"/>
        </w:rPr>
        <w:t>) - ACOs are groups of doctors, hospitals, and other health care providers, who come together voluntarily to give coordinated high quality care to their Medicare patients.  The goal is to ensure that patients, especially the chronically ill, get the right care at the right time, while avoiding unnecessary duplication of services and preventing medical errors. Some ACOs participating in CMS programs will qualify as APMs or Advanced APMs if they meet the criteria.  Most will not, at least not initially.</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APM</w:t>
      </w:r>
      <w:r w:rsidRPr="00292457">
        <w:rPr>
          <w:rFonts w:ascii="Open Sans" w:eastAsia="Times New Roman" w:hAnsi="Open Sans" w:cs="Open Sans"/>
          <w:color w:val="55616D"/>
          <w:sz w:val="24"/>
          <w:szCs w:val="24"/>
        </w:rPr>
        <w:t> (Alternative Payment Models) - New approaches to paying for medical care of Medicare patients that incentives quality and value. ACP hopes that the final rule will provide more clarity of the definitions and flexibility in types of APMs.</w:t>
      </w:r>
    </w:p>
    <w:p w:rsidR="00292457" w:rsidRPr="00292457" w:rsidRDefault="00292457" w:rsidP="00292457">
      <w:pPr>
        <w:numPr>
          <w:ilvl w:val="0"/>
          <w:numId w:val="1"/>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Advanced APM</w:t>
      </w:r>
      <w:r w:rsidRPr="00292457">
        <w:rPr>
          <w:rFonts w:ascii="Open Sans" w:eastAsia="Times New Roman" w:hAnsi="Open Sans" w:cs="Open Sans"/>
          <w:color w:val="55616D"/>
          <w:sz w:val="24"/>
          <w:szCs w:val="24"/>
        </w:rPr>
        <w:t> – Not all APMs will qualify as “advanced.” In order to be considered an “Advanced APM” the following criteria must be met:  it must meet the legislative definition of an APM, at least 50% of participants must use a certified EHR, payment must be based on quality measures comparable to those used in MIPS (of which one must be an outcome measure), and it must</w:t>
      </w:r>
      <w:proofErr w:type="gramStart"/>
      <w:r w:rsidRPr="00292457">
        <w:rPr>
          <w:rFonts w:ascii="Open Sans" w:eastAsia="Times New Roman" w:hAnsi="Open Sans" w:cs="Open Sans"/>
          <w:color w:val="55616D"/>
          <w:sz w:val="24"/>
          <w:szCs w:val="24"/>
        </w:rPr>
        <w:t>  bear</w:t>
      </w:r>
      <w:proofErr w:type="gramEnd"/>
      <w:r w:rsidRPr="00292457">
        <w:rPr>
          <w:rFonts w:ascii="Open Sans" w:eastAsia="Times New Roman" w:hAnsi="Open Sans" w:cs="Open Sans"/>
          <w:color w:val="55616D"/>
          <w:sz w:val="24"/>
          <w:szCs w:val="24"/>
        </w:rPr>
        <w:t xml:space="preserve"> more than nominal financial risk (or is a CMMI Medical Home Model expanded by the Secretary of DHHS). </w:t>
      </w:r>
    </w:p>
    <w:p w:rsidR="00292457" w:rsidRPr="00292457" w:rsidRDefault="00292457" w:rsidP="00292457">
      <w:pPr>
        <w:numPr>
          <w:ilvl w:val="0"/>
          <w:numId w:val="1"/>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MIPS APM</w:t>
      </w:r>
      <w:r w:rsidRPr="00292457">
        <w:rPr>
          <w:rFonts w:ascii="Open Sans" w:eastAsia="Times New Roman" w:hAnsi="Open Sans" w:cs="Open Sans"/>
          <w:color w:val="55616D"/>
          <w:sz w:val="24"/>
          <w:szCs w:val="24"/>
        </w:rPr>
        <w:t xml:space="preserve"> – A sub-set of APMs whose APM clinicians otherwise would be subject to the full range of MIPS requirements in addition to their </w:t>
      </w:r>
      <w:r w:rsidRPr="00292457">
        <w:rPr>
          <w:rFonts w:ascii="Open Sans" w:eastAsia="Times New Roman" w:hAnsi="Open Sans" w:cs="Open Sans"/>
          <w:color w:val="55616D"/>
          <w:sz w:val="24"/>
          <w:szCs w:val="24"/>
        </w:rPr>
        <w:lastRenderedPageBreak/>
        <w:t>APM obligations. In other words, they are APMs that meet the following criteria: (1) the APM entity participates in under an agreement with CMS; (2) the APM Entity includes one or more MIPS eligible clinicians on a participation list; and (3) the APM bases payment incentives on performance (either at the APM entity or eligible clinician level) on cost/utilization and quality measures.  Because the criteria for the identification of MIPS APMs are independent of the criteria for Advanced APM determinations, a MIPS APM may or may not also be an Advanced APM. Thus, it is possible that an APM meets all three proposed criteria to be a MIPS APM, but does not meet the Advanced APM criteria. Conversely, it would be possible, that an Advanced APM does not meet the criteria because it does not include MIPS eligible clinicians as participants.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CAHPS</w:t>
      </w:r>
      <w:r w:rsidRPr="00292457">
        <w:rPr>
          <w:rFonts w:ascii="Open Sans" w:eastAsia="Times New Roman" w:hAnsi="Open Sans" w:cs="Open Sans"/>
          <w:color w:val="55616D"/>
          <w:sz w:val="24"/>
          <w:szCs w:val="24"/>
        </w:rPr>
        <w:t> (Consumer Assessment of Healthcare Providers and Systems) - A survey that measures patient experience. Voluntary participating in CAHPS for MIPS surveys would count as a cross-cutting or patient experience measure for Quality scoring purposes.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CEC </w:t>
      </w:r>
      <w:r w:rsidRPr="00292457">
        <w:rPr>
          <w:rFonts w:ascii="Open Sans" w:eastAsia="Times New Roman" w:hAnsi="Open Sans" w:cs="Open Sans"/>
          <w:color w:val="55616D"/>
          <w:sz w:val="24"/>
          <w:szCs w:val="24"/>
        </w:rPr>
        <w:t>(</w:t>
      </w:r>
      <w:hyperlink r:id="rId6" w:tgtFrame="_blank" w:history="1">
        <w:r w:rsidRPr="00292457">
          <w:rPr>
            <w:rFonts w:ascii="Open Sans" w:eastAsia="Times New Roman" w:hAnsi="Open Sans" w:cs="Open Sans"/>
            <w:color w:val="00A0DF"/>
            <w:sz w:val="24"/>
            <w:szCs w:val="24"/>
          </w:rPr>
          <w:t>Comprehensive ESRD Care Model</w:t>
        </w:r>
      </w:hyperlink>
      <w:r w:rsidRPr="00292457">
        <w:rPr>
          <w:rFonts w:ascii="Open Sans" w:eastAsia="Times New Roman" w:hAnsi="Open Sans" w:cs="Open Sans"/>
          <w:color w:val="55616D"/>
          <w:sz w:val="24"/>
          <w:szCs w:val="24"/>
        </w:rPr>
        <w:t>) - Large Dialysis Organization (LDO) arrangement or non-LDO arrangement.  Only the LDO arrangement qualifies as an Advanced APM.  The non-LDO does not qualify because it does not bear financial risk.</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CEHRT</w:t>
      </w:r>
      <w:r w:rsidRPr="00292457">
        <w:rPr>
          <w:rFonts w:ascii="Open Sans" w:eastAsia="Times New Roman" w:hAnsi="Open Sans" w:cs="Open Sans"/>
          <w:color w:val="55616D"/>
          <w:sz w:val="24"/>
          <w:szCs w:val="24"/>
        </w:rPr>
        <w:t> </w:t>
      </w:r>
      <w:r>
        <w:rPr>
          <w:rFonts w:ascii="Open Sans" w:eastAsia="Times New Roman" w:hAnsi="Open Sans" w:cs="Open Sans"/>
          <w:color w:val="55616D"/>
          <w:sz w:val="24"/>
          <w:szCs w:val="24"/>
        </w:rPr>
        <w:t>(Certified EHR Technology) - </w:t>
      </w:r>
      <w:r w:rsidRPr="00292457">
        <w:rPr>
          <w:rFonts w:ascii="Open Sans" w:eastAsia="Times New Roman" w:hAnsi="Open Sans" w:cs="Open Sans"/>
          <w:color w:val="55616D"/>
          <w:sz w:val="24"/>
          <w:szCs w:val="24"/>
        </w:rPr>
        <w:t>Certification of EHR products is done by the Office of the National Coordinator of Health Information Technology (ONC).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CHIP</w:t>
      </w:r>
      <w:r w:rsidRPr="00292457">
        <w:rPr>
          <w:rFonts w:ascii="Open Sans" w:eastAsia="Times New Roman" w:hAnsi="Open Sans" w:cs="Open Sans"/>
          <w:color w:val="55616D"/>
          <w:sz w:val="24"/>
          <w:szCs w:val="24"/>
        </w:rPr>
        <w:t> (</w:t>
      </w:r>
      <w:hyperlink r:id="rId7" w:tgtFrame="_blank" w:history="1">
        <w:r w:rsidRPr="00292457">
          <w:rPr>
            <w:rFonts w:ascii="Open Sans" w:eastAsia="Times New Roman" w:hAnsi="Open Sans" w:cs="Open Sans"/>
            <w:color w:val="00A0DF"/>
            <w:sz w:val="24"/>
            <w:szCs w:val="24"/>
          </w:rPr>
          <w:t>Children’s Health Insurance Program</w:t>
        </w:r>
      </w:hyperlink>
      <w:r w:rsidRPr="00292457">
        <w:rPr>
          <w:rFonts w:ascii="Open Sans" w:eastAsia="Times New Roman" w:hAnsi="Open Sans" w:cs="Open Sans"/>
          <w:color w:val="55616D"/>
          <w:sz w:val="24"/>
          <w:szCs w:val="24"/>
        </w:rPr>
        <w:t>) - This program provides health coverage to eligible children, both through Medicaid and separate CHIP programs.  CHIP is administered by states, according to federal requirements and is funded jointly by states and the federal government.</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CMMI </w:t>
      </w:r>
      <w:r w:rsidRPr="00292457">
        <w:rPr>
          <w:rFonts w:ascii="Open Sans" w:eastAsia="Times New Roman" w:hAnsi="Open Sans" w:cs="Open Sans"/>
          <w:color w:val="55616D"/>
          <w:sz w:val="24"/>
          <w:szCs w:val="24"/>
        </w:rPr>
        <w:t>(</w:t>
      </w:r>
      <w:hyperlink r:id="rId8" w:tgtFrame="_blank" w:history="1">
        <w:r w:rsidRPr="00292457">
          <w:rPr>
            <w:rFonts w:ascii="Open Sans" w:eastAsia="Times New Roman" w:hAnsi="Open Sans" w:cs="Open Sans"/>
            <w:color w:val="00A0DF"/>
            <w:sz w:val="24"/>
            <w:szCs w:val="24"/>
          </w:rPr>
          <w:t>Center for Medicare and Medicaid Innovation</w:t>
        </w:r>
      </w:hyperlink>
      <w:r w:rsidRPr="00292457">
        <w:rPr>
          <w:rFonts w:ascii="Open Sans" w:eastAsia="Times New Roman" w:hAnsi="Open Sans" w:cs="Open Sans"/>
          <w:color w:val="55616D"/>
          <w:sz w:val="24"/>
          <w:szCs w:val="24"/>
        </w:rPr>
        <w:t>) - This is the department within CMS that oversees programs such as MSSP, TCPI, ACOs, and other demonstration projects.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CPCI</w:t>
      </w:r>
      <w:r w:rsidRPr="00292457">
        <w:rPr>
          <w:rFonts w:ascii="Open Sans" w:eastAsia="Times New Roman" w:hAnsi="Open Sans" w:cs="Open Sans"/>
          <w:color w:val="55616D"/>
          <w:sz w:val="24"/>
          <w:szCs w:val="24"/>
        </w:rPr>
        <w:t> (</w:t>
      </w:r>
      <w:hyperlink r:id="rId9" w:tgtFrame="_blank" w:history="1">
        <w:r w:rsidRPr="00292457">
          <w:rPr>
            <w:rFonts w:ascii="Open Sans" w:eastAsia="Times New Roman" w:hAnsi="Open Sans" w:cs="Open Sans"/>
            <w:color w:val="00A0DF"/>
            <w:sz w:val="24"/>
            <w:szCs w:val="24"/>
          </w:rPr>
          <w:t>Comprehensive Primary Care Initiative</w:t>
        </w:r>
      </w:hyperlink>
      <w:r w:rsidRPr="00292457">
        <w:rPr>
          <w:rFonts w:ascii="Open Sans" w:eastAsia="Times New Roman" w:hAnsi="Open Sans" w:cs="Open Sans"/>
          <w:color w:val="55616D"/>
          <w:sz w:val="24"/>
          <w:szCs w:val="24"/>
        </w:rPr>
        <w:t> or </w:t>
      </w:r>
      <w:r w:rsidRPr="00292457">
        <w:rPr>
          <w:rFonts w:ascii="Open Sans" w:eastAsia="Times New Roman" w:hAnsi="Open Sans" w:cs="Open Sans"/>
          <w:b/>
          <w:bCs/>
          <w:color w:val="55616D"/>
          <w:sz w:val="24"/>
          <w:szCs w:val="24"/>
        </w:rPr>
        <w:t>CPC Classic</w:t>
      </w:r>
      <w:r w:rsidRPr="00292457">
        <w:rPr>
          <w:rFonts w:ascii="Open Sans" w:eastAsia="Times New Roman" w:hAnsi="Open Sans" w:cs="Open Sans"/>
          <w:color w:val="55616D"/>
          <w:sz w:val="24"/>
          <w:szCs w:val="24"/>
        </w:rPr>
        <w:t xml:space="preserve">) - This is a four-year multi-payer initiative designed to strengthen primary care. It launched in October 2012 and expires in October 2016.  It will be replaced by CPC+ beginning in January 2017.  CPC Classic is a collaboration between CMS and commercial and State health insurance plans in 7 markets to offer population-based care management fees and shared savings opportunities to participating primary care practices to support the provision of a core set of </w:t>
      </w:r>
      <w:r w:rsidRPr="00292457">
        <w:rPr>
          <w:rFonts w:ascii="Open Sans" w:eastAsia="Times New Roman" w:hAnsi="Open Sans" w:cs="Open Sans"/>
          <w:color w:val="55616D"/>
          <w:sz w:val="24"/>
          <w:szCs w:val="24"/>
        </w:rPr>
        <w:lastRenderedPageBreak/>
        <w:t>five “Comprehensive” primary care functions. These five functions are: (1) Risk-stratified Care Management; (2) Access and Continuity; (3) Planned Care for Chronic Conditions and Preventive Care; (4) Patient and Caregiver Engagement; (5) Coordination of Care across the Medical Neighborhood.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CPC+</w:t>
      </w:r>
      <w:r w:rsidRPr="00292457">
        <w:rPr>
          <w:rFonts w:ascii="Open Sans" w:eastAsia="Times New Roman" w:hAnsi="Open Sans" w:cs="Open Sans"/>
          <w:color w:val="55616D"/>
          <w:sz w:val="24"/>
          <w:szCs w:val="24"/>
        </w:rPr>
        <w:t> (</w:t>
      </w:r>
      <w:hyperlink r:id="rId10" w:tgtFrame="_blank" w:history="1">
        <w:r w:rsidRPr="00292457">
          <w:rPr>
            <w:rFonts w:ascii="Open Sans" w:eastAsia="Times New Roman" w:hAnsi="Open Sans" w:cs="Open Sans"/>
            <w:color w:val="00A0DF"/>
            <w:sz w:val="24"/>
            <w:szCs w:val="24"/>
          </w:rPr>
          <w:t>Comprehensive Primary Care Plus</w:t>
        </w:r>
      </w:hyperlink>
      <w:r w:rsidRPr="00292457">
        <w:rPr>
          <w:rFonts w:ascii="Open Sans" w:eastAsia="Times New Roman" w:hAnsi="Open Sans" w:cs="Open Sans"/>
          <w:color w:val="55616D"/>
          <w:sz w:val="24"/>
          <w:szCs w:val="24"/>
        </w:rPr>
        <w:t>) - CPC+ is a five-year model that will begin in January 2017 and replaces CPC Classic.  CPC+ is a national advanced primary care medical home model that aims to strengthen primary care through a regionally-based multi-payer payment reform and care delivery transformation. CPC+ will include two primary care practice tracks with incrementally advanced care delivery requirements and payment.</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CPIA</w:t>
      </w:r>
      <w:r w:rsidRPr="00292457">
        <w:rPr>
          <w:rFonts w:ascii="Open Sans" w:eastAsia="Times New Roman" w:hAnsi="Open Sans" w:cs="Open Sans"/>
          <w:color w:val="55616D"/>
          <w:sz w:val="24"/>
          <w:szCs w:val="24"/>
        </w:rPr>
        <w:t xml:space="preserve"> (Clinical Practice Improvement Activities) - One component of the total MIPS Composite Score.  There are over 90 proposed activities from which practices can choose to implement.  Some of the categories include expanded practice access, population management, care coordination, beneficiary engagement, patient safety and practice assessment, emergency preparedness, and </w:t>
      </w:r>
      <w:proofErr w:type="spellStart"/>
      <w:r w:rsidRPr="00292457">
        <w:rPr>
          <w:rFonts w:ascii="Open Sans" w:eastAsia="Times New Roman" w:hAnsi="Open Sans" w:cs="Open Sans"/>
          <w:color w:val="55616D"/>
          <w:sz w:val="24"/>
          <w:szCs w:val="24"/>
        </w:rPr>
        <w:t>behavorial</w:t>
      </w:r>
      <w:proofErr w:type="spellEnd"/>
      <w:r w:rsidRPr="00292457">
        <w:rPr>
          <w:rFonts w:ascii="Open Sans" w:eastAsia="Times New Roman" w:hAnsi="Open Sans" w:cs="Open Sans"/>
          <w:color w:val="55616D"/>
          <w:sz w:val="24"/>
          <w:szCs w:val="24"/>
        </w:rPr>
        <w:t xml:space="preserve"> health integration.</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CPS</w:t>
      </w:r>
      <w:r w:rsidRPr="00292457">
        <w:rPr>
          <w:rFonts w:ascii="Open Sans" w:eastAsia="Times New Roman" w:hAnsi="Open Sans" w:cs="Open Sans"/>
          <w:color w:val="55616D"/>
          <w:sz w:val="24"/>
          <w:szCs w:val="24"/>
        </w:rPr>
        <w:t xml:space="preserve"> (Composite Performance Score) </w:t>
      </w:r>
      <w:proofErr w:type="gramStart"/>
      <w:r w:rsidRPr="00292457">
        <w:rPr>
          <w:rFonts w:ascii="Open Sans" w:eastAsia="Times New Roman" w:hAnsi="Open Sans" w:cs="Open Sans"/>
          <w:color w:val="55616D"/>
          <w:sz w:val="24"/>
          <w:szCs w:val="24"/>
        </w:rPr>
        <w:t>-  The</w:t>
      </w:r>
      <w:proofErr w:type="gramEnd"/>
      <w:r w:rsidRPr="00292457">
        <w:rPr>
          <w:rFonts w:ascii="Open Sans" w:eastAsia="Times New Roman" w:hAnsi="Open Sans" w:cs="Open Sans"/>
          <w:color w:val="55616D"/>
          <w:sz w:val="24"/>
          <w:szCs w:val="24"/>
        </w:rPr>
        <w:t xml:space="preserve"> sum of the 4 MIPS categories Quality + Resource Use + Advanced Care Information + CPIA. It was previously referred to as the MIPS Composite Score.</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CQM</w:t>
      </w:r>
      <w:r w:rsidRPr="00292457">
        <w:rPr>
          <w:rFonts w:ascii="Open Sans" w:eastAsia="Times New Roman" w:hAnsi="Open Sans" w:cs="Open Sans"/>
          <w:color w:val="55616D"/>
          <w:sz w:val="24"/>
          <w:szCs w:val="24"/>
        </w:rPr>
        <w:t xml:space="preserve"> (Clinical Quality Measure) - CQMs measure and track quality of services provided by ECs. They measure aspects of patient care, including health outcomes, clinical processes, patient safety, </w:t>
      </w:r>
      <w:proofErr w:type="gramStart"/>
      <w:r w:rsidRPr="00292457">
        <w:rPr>
          <w:rFonts w:ascii="Open Sans" w:eastAsia="Times New Roman" w:hAnsi="Open Sans" w:cs="Open Sans"/>
          <w:color w:val="55616D"/>
          <w:sz w:val="24"/>
          <w:szCs w:val="24"/>
        </w:rPr>
        <w:t>efficient</w:t>
      </w:r>
      <w:proofErr w:type="gramEnd"/>
      <w:r w:rsidRPr="00292457">
        <w:rPr>
          <w:rFonts w:ascii="Open Sans" w:eastAsia="Times New Roman" w:hAnsi="Open Sans" w:cs="Open Sans"/>
          <w:color w:val="55616D"/>
          <w:sz w:val="24"/>
          <w:szCs w:val="24"/>
        </w:rPr>
        <w:t xml:space="preserve"> use of resources, care coordination, patient engagement, population health, and adherence to clinical guidelines.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EC</w:t>
      </w:r>
      <w:r w:rsidRPr="00292457">
        <w:rPr>
          <w:rFonts w:ascii="Open Sans" w:eastAsia="Times New Roman" w:hAnsi="Open Sans" w:cs="Open Sans"/>
          <w:color w:val="55616D"/>
          <w:sz w:val="24"/>
          <w:szCs w:val="24"/>
        </w:rPr>
        <w:t> (Eligible Clinician, formerly EP or eligible professional) - A term used to indicate which professionals are qualified to participate. “Eligible” is defined by each program.</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FFS</w:t>
      </w:r>
      <w:r w:rsidRPr="00292457">
        <w:rPr>
          <w:rFonts w:ascii="Open Sans" w:eastAsia="Times New Roman" w:hAnsi="Open Sans" w:cs="Open Sans"/>
          <w:color w:val="55616D"/>
          <w:sz w:val="24"/>
          <w:szCs w:val="24"/>
        </w:rPr>
        <w:t> (Fee for Service) - Most Medicare payments are based on services provided.  Traditional Medicare (Part B) is based on FFS payments.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MACRA </w:t>
      </w:r>
      <w:r w:rsidRPr="00292457">
        <w:rPr>
          <w:rFonts w:ascii="Open Sans" w:eastAsia="Times New Roman" w:hAnsi="Open Sans" w:cs="Open Sans"/>
          <w:color w:val="55616D"/>
          <w:sz w:val="24"/>
          <w:szCs w:val="24"/>
        </w:rPr>
        <w:t>(</w:t>
      </w:r>
      <w:hyperlink r:id="rId11" w:tgtFrame="_blank" w:history="1">
        <w:r w:rsidRPr="00292457">
          <w:rPr>
            <w:rFonts w:ascii="Open Sans" w:eastAsia="Times New Roman" w:hAnsi="Open Sans" w:cs="Open Sans"/>
            <w:color w:val="00A0DF"/>
            <w:sz w:val="24"/>
            <w:szCs w:val="24"/>
          </w:rPr>
          <w:t>Medicare Access and CHIP Reauthorization Act of 2015</w:t>
        </w:r>
      </w:hyperlink>
      <w:r w:rsidRPr="00292457">
        <w:rPr>
          <w:rFonts w:ascii="Open Sans" w:eastAsia="Times New Roman" w:hAnsi="Open Sans" w:cs="Open Sans"/>
          <w:color w:val="55616D"/>
          <w:sz w:val="24"/>
          <w:szCs w:val="24"/>
        </w:rPr>
        <w:t>) - This is the law that sunsets the volume-based SGR and replaces the payment system with one that is value-based.  The goal is to create a sustainable payment system for physicians.  The new payment system begins in 2019 and will be phased in over several years.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MIPS</w:t>
      </w:r>
      <w:r w:rsidRPr="00292457">
        <w:rPr>
          <w:rFonts w:ascii="Open Sans" w:eastAsia="Times New Roman" w:hAnsi="Open Sans" w:cs="Open Sans"/>
          <w:color w:val="55616D"/>
          <w:sz w:val="24"/>
          <w:szCs w:val="24"/>
        </w:rPr>
        <w:t xml:space="preserve"> (Merit-based Incentive Payment System) - MIPS is the 1st option. This path will pay based on quality, technology, resource use (cost), and practice </w:t>
      </w:r>
      <w:r w:rsidRPr="00292457">
        <w:rPr>
          <w:rFonts w:ascii="Open Sans" w:eastAsia="Times New Roman" w:hAnsi="Open Sans" w:cs="Open Sans"/>
          <w:color w:val="55616D"/>
          <w:sz w:val="24"/>
          <w:szCs w:val="24"/>
        </w:rPr>
        <w:lastRenderedPageBreak/>
        <w:t>improvement.  PQRS, MU, and VBM will cease to exist individually, but will be consolidated into MIPS beginning in 2019. </w:t>
      </w:r>
    </w:p>
    <w:p w:rsidR="00292457" w:rsidRPr="00292457" w:rsidRDefault="00292457" w:rsidP="00292457">
      <w:pPr>
        <w:numPr>
          <w:ilvl w:val="0"/>
          <w:numId w:val="2"/>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MIPS Composite Score</w:t>
      </w:r>
      <w:r w:rsidRPr="00292457">
        <w:rPr>
          <w:rFonts w:ascii="Open Sans" w:eastAsia="Times New Roman" w:hAnsi="Open Sans" w:cs="Open Sans"/>
          <w:color w:val="55616D"/>
          <w:sz w:val="24"/>
          <w:szCs w:val="24"/>
        </w:rPr>
        <w:t> – The MIPS score (in Year 1) will be based on performance in 4 categories:  Quality (50%), Advancing Care Information (25%), Clinical Practice Improvement Activities (15%), and Resource Use or Cost (10%). This is now referred to as the Composite Performance Score.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MSSP</w:t>
      </w:r>
      <w:r w:rsidRPr="00292457">
        <w:rPr>
          <w:rFonts w:ascii="Open Sans" w:eastAsia="Times New Roman" w:hAnsi="Open Sans" w:cs="Open Sans"/>
          <w:color w:val="55616D"/>
          <w:sz w:val="24"/>
          <w:szCs w:val="24"/>
        </w:rPr>
        <w:t> (</w:t>
      </w:r>
      <w:hyperlink r:id="rId12" w:tgtFrame="_blank" w:history="1">
        <w:r w:rsidRPr="00292457">
          <w:rPr>
            <w:rFonts w:ascii="Open Sans" w:eastAsia="Times New Roman" w:hAnsi="Open Sans" w:cs="Open Sans"/>
            <w:color w:val="00A0DF"/>
            <w:sz w:val="24"/>
            <w:szCs w:val="24"/>
          </w:rPr>
          <w:t>Medicare Shared Savings Program</w:t>
        </w:r>
      </w:hyperlink>
      <w:r w:rsidRPr="00292457">
        <w:rPr>
          <w:rFonts w:ascii="Open Sans" w:eastAsia="Times New Roman" w:hAnsi="Open Sans" w:cs="Open Sans"/>
          <w:color w:val="55616D"/>
          <w:sz w:val="24"/>
          <w:szCs w:val="24"/>
        </w:rPr>
        <w:t>) - MSSP was established by the ACA to facilitate coordination and cooperation among providers to improve the quality of care for Medicare Fee-For-Service (FFS) beneficiaries and reduce unnecessary costs.  MSSP aims to improve beneficiary outcomes and increase value of care by providing better care for individuals, better health for populations, and lowering growth in expenditures. The Shared Savings Program will reward ACOs that lower their growth in health care costs while meeting performance standards on quality of care and putting patients first.</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MU </w:t>
      </w:r>
      <w:r w:rsidRPr="00292457">
        <w:rPr>
          <w:rFonts w:ascii="Open Sans" w:eastAsia="Times New Roman" w:hAnsi="Open Sans" w:cs="Open Sans"/>
          <w:color w:val="55616D"/>
          <w:sz w:val="24"/>
          <w:szCs w:val="24"/>
        </w:rPr>
        <w:t>(</w:t>
      </w:r>
      <w:hyperlink r:id="rId13" w:history="1">
        <w:r w:rsidRPr="00292457">
          <w:rPr>
            <w:rFonts w:ascii="Open Sans" w:eastAsia="Times New Roman" w:hAnsi="Open Sans" w:cs="Open Sans"/>
            <w:color w:val="00A0DF"/>
            <w:sz w:val="24"/>
            <w:szCs w:val="24"/>
          </w:rPr>
          <w:t>Meaningful Use</w:t>
        </w:r>
      </w:hyperlink>
      <w:r w:rsidRPr="00292457">
        <w:rPr>
          <w:rFonts w:ascii="Open Sans" w:eastAsia="Times New Roman" w:hAnsi="Open Sans" w:cs="Open Sans"/>
          <w:color w:val="55616D"/>
          <w:sz w:val="24"/>
          <w:szCs w:val="24"/>
        </w:rPr>
        <w:t>) - The Affordable Care Act created incentives for physicians to adopt EHR and use them “meaningfully” in practice.  The EHR Incentive Program was set up in 3 stages, but the program will be rolled into MACRA as part of MIPS.  </w:t>
      </w:r>
      <w:r w:rsidRPr="00292457">
        <w:rPr>
          <w:rFonts w:ascii="Open Sans" w:eastAsia="Times New Roman" w:hAnsi="Open Sans" w:cs="Open Sans"/>
          <w:i/>
          <w:iCs/>
          <w:color w:val="55616D"/>
          <w:sz w:val="24"/>
          <w:szCs w:val="24"/>
        </w:rPr>
        <w:t>The new term for MU is “Advancing Care Information.”</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OCM </w:t>
      </w:r>
      <w:r w:rsidRPr="00292457">
        <w:rPr>
          <w:rFonts w:ascii="Open Sans" w:eastAsia="Times New Roman" w:hAnsi="Open Sans" w:cs="Open Sans"/>
          <w:color w:val="55616D"/>
          <w:sz w:val="24"/>
          <w:szCs w:val="24"/>
        </w:rPr>
        <w:t>(</w:t>
      </w:r>
      <w:hyperlink r:id="rId14" w:history="1">
        <w:r w:rsidRPr="00292457">
          <w:rPr>
            <w:rFonts w:ascii="Open Sans" w:eastAsia="Times New Roman" w:hAnsi="Open Sans" w:cs="Open Sans"/>
            <w:color w:val="00A0DF"/>
            <w:sz w:val="24"/>
            <w:szCs w:val="24"/>
          </w:rPr>
          <w:t>Oncology Care Model</w:t>
        </w:r>
      </w:hyperlink>
      <w:r w:rsidRPr="00292457">
        <w:rPr>
          <w:rFonts w:ascii="Open Sans" w:eastAsia="Times New Roman" w:hAnsi="Open Sans" w:cs="Open Sans"/>
          <w:color w:val="55616D"/>
          <w:sz w:val="24"/>
          <w:szCs w:val="24"/>
        </w:rPr>
        <w:t>) - There are two types of Oncology Care Models: 1-sided risk and 2-sided risk arrangements. Those that are 2-sided risk arrangements will qualify as Advanced APMs.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PCMH</w:t>
      </w:r>
      <w:r w:rsidRPr="00292457">
        <w:rPr>
          <w:rFonts w:ascii="Open Sans" w:eastAsia="Times New Roman" w:hAnsi="Open Sans" w:cs="Open Sans"/>
          <w:color w:val="55616D"/>
          <w:sz w:val="24"/>
          <w:szCs w:val="24"/>
        </w:rPr>
        <w:t> (</w:t>
      </w:r>
      <w:hyperlink r:id="rId15" w:history="1">
        <w:r w:rsidRPr="00292457">
          <w:rPr>
            <w:rFonts w:ascii="Open Sans" w:eastAsia="Times New Roman" w:hAnsi="Open Sans" w:cs="Open Sans"/>
            <w:color w:val="00A0DF"/>
            <w:sz w:val="24"/>
            <w:szCs w:val="24"/>
          </w:rPr>
          <w:t>Patient-Centered Medical Home</w:t>
        </w:r>
      </w:hyperlink>
      <w:r w:rsidRPr="00292457">
        <w:rPr>
          <w:rFonts w:ascii="Open Sans" w:eastAsia="Times New Roman" w:hAnsi="Open Sans" w:cs="Open Sans"/>
          <w:color w:val="55616D"/>
          <w:sz w:val="24"/>
          <w:szCs w:val="24"/>
        </w:rPr>
        <w:t>) - The PCMH is a model of care delivery whereby the physician practice coordinates all the care of the patient, even those with chronic conditions.  Nationally recognized patient-centered medical homes are accredited by (1) the Accreditation Association for Ambulatory Health Care, (2) the National Committee for Quality Assurance (NCQA) PCMH Recognition, (3) the Joint Commission Designation, or (4) the Utilization Review Accreditation Commission (URAC).</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PFPM</w:t>
      </w:r>
      <w:r w:rsidRPr="00292457">
        <w:rPr>
          <w:rFonts w:ascii="Open Sans" w:eastAsia="Times New Roman" w:hAnsi="Open Sans" w:cs="Open Sans"/>
          <w:color w:val="55616D"/>
          <w:sz w:val="24"/>
          <w:szCs w:val="24"/>
        </w:rPr>
        <w:t> (Physician Focused Payment Models) - These are Alternative Payment Models wherein Medicare is a payer, which includes physician group practices or individual physicians as APM Entities and targets the quality and costs of physician services.</w:t>
      </w:r>
    </w:p>
    <w:p w:rsidR="00292457" w:rsidRPr="00292457" w:rsidRDefault="00292457" w:rsidP="00292457">
      <w:pPr>
        <w:numPr>
          <w:ilvl w:val="0"/>
          <w:numId w:val="3"/>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PTAC</w:t>
      </w:r>
      <w:r w:rsidRPr="00292457">
        <w:rPr>
          <w:rFonts w:ascii="Open Sans" w:eastAsia="Times New Roman" w:hAnsi="Open Sans" w:cs="Open Sans"/>
          <w:color w:val="55616D"/>
          <w:sz w:val="24"/>
          <w:szCs w:val="24"/>
        </w:rPr>
        <w:t xml:space="preserve"> (Physician-focused Payment Model Technical Advisory Committee) - The body that will review and provide comments and recommendations on PFPMs submitted by stakeholders. The Secretary </w:t>
      </w:r>
      <w:r w:rsidRPr="00292457">
        <w:rPr>
          <w:rFonts w:ascii="Open Sans" w:eastAsia="Times New Roman" w:hAnsi="Open Sans" w:cs="Open Sans"/>
          <w:color w:val="55616D"/>
          <w:sz w:val="24"/>
          <w:szCs w:val="24"/>
        </w:rPr>
        <w:lastRenderedPageBreak/>
        <w:t xml:space="preserve">must establish, through notice and comment rulemaking, criteria for PFPMs, including models for specialist </w:t>
      </w:r>
      <w:proofErr w:type="gramStart"/>
      <w:r w:rsidRPr="00292457">
        <w:rPr>
          <w:rFonts w:ascii="Open Sans" w:eastAsia="Times New Roman" w:hAnsi="Open Sans" w:cs="Open Sans"/>
          <w:color w:val="55616D"/>
          <w:sz w:val="24"/>
          <w:szCs w:val="24"/>
        </w:rPr>
        <w:t>physicians, that</w:t>
      </w:r>
      <w:proofErr w:type="gramEnd"/>
      <w:r w:rsidRPr="00292457">
        <w:rPr>
          <w:rFonts w:ascii="Open Sans" w:eastAsia="Times New Roman" w:hAnsi="Open Sans" w:cs="Open Sans"/>
          <w:color w:val="55616D"/>
          <w:sz w:val="24"/>
          <w:szCs w:val="24"/>
        </w:rPr>
        <w:t xml:space="preserve"> could be used by the PTAC for making its comments and recommendations.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PQRS</w:t>
      </w:r>
      <w:r w:rsidRPr="00292457">
        <w:rPr>
          <w:rFonts w:ascii="Open Sans" w:eastAsia="Times New Roman" w:hAnsi="Open Sans" w:cs="Open Sans"/>
          <w:color w:val="55616D"/>
          <w:sz w:val="24"/>
          <w:szCs w:val="24"/>
        </w:rPr>
        <w:t> (</w:t>
      </w:r>
      <w:hyperlink r:id="rId16" w:tgtFrame="_blank" w:history="1">
        <w:r w:rsidRPr="00292457">
          <w:rPr>
            <w:rFonts w:ascii="Open Sans" w:eastAsia="Times New Roman" w:hAnsi="Open Sans" w:cs="Open Sans"/>
            <w:color w:val="00A0DF"/>
            <w:sz w:val="24"/>
            <w:szCs w:val="24"/>
          </w:rPr>
          <w:t>Physician Quality Reporting System</w:t>
        </w:r>
      </w:hyperlink>
      <w:r w:rsidRPr="00292457">
        <w:rPr>
          <w:rFonts w:ascii="Open Sans" w:eastAsia="Times New Roman" w:hAnsi="Open Sans" w:cs="Open Sans"/>
          <w:color w:val="55616D"/>
          <w:sz w:val="24"/>
          <w:szCs w:val="24"/>
        </w:rPr>
        <w:t>) - PQRS is a quality reporting program that encourages individual eligible professionals (EPs) and group practices to report information on the quality of care to Medicare. PQRS will be consolidated into the new MIPS program.</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QCDR</w:t>
      </w:r>
      <w:r w:rsidRPr="00292457">
        <w:rPr>
          <w:rFonts w:ascii="Open Sans" w:eastAsia="Times New Roman" w:hAnsi="Open Sans" w:cs="Open Sans"/>
          <w:color w:val="55616D"/>
          <w:sz w:val="24"/>
          <w:szCs w:val="24"/>
        </w:rPr>
        <w:t> (</w:t>
      </w:r>
      <w:hyperlink r:id="rId17" w:tgtFrame="_blank" w:history="1">
        <w:r w:rsidRPr="00292457">
          <w:rPr>
            <w:rFonts w:ascii="Open Sans" w:eastAsia="Times New Roman" w:hAnsi="Open Sans" w:cs="Open Sans"/>
            <w:color w:val="00A0DF"/>
            <w:sz w:val="24"/>
            <w:szCs w:val="24"/>
          </w:rPr>
          <w:t>Qualified Clinical Data Registries</w:t>
        </w:r>
      </w:hyperlink>
      <w:r w:rsidRPr="00292457">
        <w:rPr>
          <w:rFonts w:ascii="Open Sans" w:eastAsia="Times New Roman" w:hAnsi="Open Sans" w:cs="Open Sans"/>
          <w:color w:val="55616D"/>
          <w:sz w:val="24"/>
          <w:szCs w:val="24"/>
        </w:rPr>
        <w:t>) - A QCDR is a CMS-approved entity that collects and submits PQRS quality measures data on behalf of eligible professionals (EPs). To be considered a QCDR for purposes of PQRS, an entity must self-nominate and successfully complete the qualification process.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QP </w:t>
      </w:r>
      <w:r w:rsidRPr="00292457">
        <w:rPr>
          <w:rFonts w:ascii="Open Sans" w:eastAsia="Times New Roman" w:hAnsi="Open Sans" w:cs="Open Sans"/>
          <w:color w:val="55616D"/>
          <w:sz w:val="24"/>
          <w:szCs w:val="24"/>
        </w:rPr>
        <w:t>(Qualified Professional) - This represents the subset of professionals who participate in Advanced APMs.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QPP</w:t>
      </w:r>
      <w:r w:rsidRPr="00292457">
        <w:rPr>
          <w:rFonts w:ascii="Open Sans" w:eastAsia="Times New Roman" w:hAnsi="Open Sans" w:cs="Open Sans"/>
          <w:color w:val="55616D"/>
          <w:sz w:val="24"/>
          <w:szCs w:val="24"/>
        </w:rPr>
        <w:t> (</w:t>
      </w:r>
      <w:hyperlink r:id="rId18" w:tgtFrame="_blank" w:history="1">
        <w:r w:rsidRPr="00292457">
          <w:rPr>
            <w:rFonts w:ascii="Open Sans" w:eastAsia="Times New Roman" w:hAnsi="Open Sans" w:cs="Open Sans"/>
            <w:color w:val="00A0DF"/>
            <w:sz w:val="24"/>
            <w:szCs w:val="24"/>
          </w:rPr>
          <w:t>Quality Payment Program</w:t>
        </w:r>
      </w:hyperlink>
      <w:r>
        <w:rPr>
          <w:rFonts w:ascii="Open Sans" w:eastAsia="Times New Roman" w:hAnsi="Open Sans" w:cs="Open Sans"/>
          <w:color w:val="55616D"/>
          <w:sz w:val="24"/>
          <w:szCs w:val="24"/>
        </w:rPr>
        <w:t>) - </w:t>
      </w:r>
      <w:r w:rsidRPr="00292457">
        <w:rPr>
          <w:rFonts w:ascii="Open Sans" w:eastAsia="Times New Roman" w:hAnsi="Open Sans" w:cs="Open Sans"/>
          <w:color w:val="55616D"/>
          <w:sz w:val="24"/>
          <w:szCs w:val="24"/>
        </w:rPr>
        <w:t>This is the name of the new payment program to implement MACRA in the proposed rule released on April 27, 2016.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QRUR</w:t>
      </w:r>
      <w:r w:rsidRPr="00292457">
        <w:rPr>
          <w:rFonts w:ascii="Open Sans" w:eastAsia="Times New Roman" w:hAnsi="Open Sans" w:cs="Open Sans"/>
          <w:color w:val="55616D"/>
          <w:sz w:val="24"/>
          <w:szCs w:val="24"/>
        </w:rPr>
        <w:t> (</w:t>
      </w:r>
      <w:hyperlink r:id="rId19" w:tgtFrame="_blank" w:history="1">
        <w:r w:rsidRPr="00292457">
          <w:rPr>
            <w:rFonts w:ascii="Open Sans" w:eastAsia="Times New Roman" w:hAnsi="Open Sans" w:cs="Open Sans"/>
            <w:color w:val="00A0DF"/>
            <w:sz w:val="24"/>
            <w:szCs w:val="24"/>
          </w:rPr>
          <w:t>Quality and Resource Use Report</w:t>
        </w:r>
      </w:hyperlink>
      <w:r w:rsidRPr="00292457">
        <w:rPr>
          <w:rFonts w:ascii="Open Sans" w:eastAsia="Times New Roman" w:hAnsi="Open Sans" w:cs="Open Sans"/>
          <w:color w:val="55616D"/>
          <w:sz w:val="24"/>
          <w:szCs w:val="24"/>
        </w:rPr>
        <w:t>) - Under the Value-Based Payment (see VBP below) program, QRURs provide information about the resources used and the quality of care furnished to a group’s or solo practitioner’s Medicare FFS beneficiaries. The 2015 QRURs will be generated for all groups and solo practitioners nationwide, as identified by their Medicare-enrolled TIN, regardless of whether the 2017 Value Modifier will apply to them. They can use their QRURs to see how their TIN compares with other TINs caring for Medicare beneficiaries.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SGR </w:t>
      </w:r>
      <w:r w:rsidRPr="00292457">
        <w:rPr>
          <w:rFonts w:ascii="Open Sans" w:eastAsia="Times New Roman" w:hAnsi="Open Sans" w:cs="Open Sans"/>
          <w:color w:val="55616D"/>
          <w:sz w:val="24"/>
          <w:szCs w:val="24"/>
        </w:rPr>
        <w:t>(Sustainable Growth Rate) - This is the formula on which fee-for-service Medicare Part B payments are based through 2017.  This payment system is effectively replaced by MACRA (MIPS and APM).</w:t>
      </w:r>
    </w:p>
    <w:p w:rsidR="00292457" w:rsidRPr="00292457" w:rsidRDefault="00485105"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Pr>
          <w:rFonts w:ascii="Open Sans" w:eastAsia="Times New Roman" w:hAnsi="Open Sans" w:cs="Open Sans"/>
          <w:b/>
          <w:bCs/>
          <w:color w:val="55616D"/>
          <w:sz w:val="24"/>
          <w:szCs w:val="24"/>
        </w:rPr>
        <w:t>TCPI</w:t>
      </w:r>
      <w:bookmarkStart w:id="0" w:name="_GoBack"/>
      <w:bookmarkEnd w:id="0"/>
      <w:r w:rsidR="00292457" w:rsidRPr="00292457">
        <w:rPr>
          <w:rFonts w:ascii="Open Sans" w:eastAsia="Times New Roman" w:hAnsi="Open Sans" w:cs="Open Sans"/>
          <w:color w:val="55616D"/>
          <w:sz w:val="24"/>
          <w:szCs w:val="24"/>
        </w:rPr>
        <w:t> (</w:t>
      </w:r>
      <w:hyperlink r:id="rId20" w:history="1">
        <w:r w:rsidR="00292457" w:rsidRPr="00292457">
          <w:rPr>
            <w:rFonts w:ascii="Open Sans" w:eastAsia="Times New Roman" w:hAnsi="Open Sans" w:cs="Open Sans"/>
            <w:color w:val="00A0DF"/>
            <w:sz w:val="24"/>
            <w:szCs w:val="24"/>
          </w:rPr>
          <w:t>Tran</w:t>
        </w:r>
        <w:r w:rsidR="00292457">
          <w:rPr>
            <w:rFonts w:ascii="Open Sans" w:eastAsia="Times New Roman" w:hAnsi="Open Sans" w:cs="Open Sans"/>
            <w:color w:val="00A0DF"/>
            <w:sz w:val="24"/>
            <w:szCs w:val="24"/>
          </w:rPr>
          <w:t>s</w:t>
        </w:r>
        <w:r w:rsidR="00292457" w:rsidRPr="00292457">
          <w:rPr>
            <w:rFonts w:ascii="Open Sans" w:eastAsia="Times New Roman" w:hAnsi="Open Sans" w:cs="Open Sans"/>
            <w:color w:val="00A0DF"/>
            <w:sz w:val="24"/>
            <w:szCs w:val="24"/>
          </w:rPr>
          <w:t>forming Clinical Practice Initiative</w:t>
        </w:r>
      </w:hyperlink>
      <w:r w:rsidR="00292457" w:rsidRPr="00292457">
        <w:rPr>
          <w:rFonts w:ascii="Open Sans" w:eastAsia="Times New Roman" w:hAnsi="Open Sans" w:cs="Open Sans"/>
          <w:color w:val="55616D"/>
          <w:sz w:val="24"/>
          <w:szCs w:val="24"/>
        </w:rPr>
        <w:t>) - This is an initiative within CMMI that is designed to help practices implement changes and improvements so that they can participate in APMs. The initiative is designed to support practices over the next four years in sharing, adapting and further developing their comprehensive quality improvement strategies.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TIN </w:t>
      </w:r>
      <w:r w:rsidRPr="00292457">
        <w:rPr>
          <w:rFonts w:ascii="Open Sans" w:eastAsia="Times New Roman" w:hAnsi="Open Sans" w:cs="Open Sans"/>
          <w:color w:val="55616D"/>
          <w:sz w:val="24"/>
          <w:szCs w:val="24"/>
        </w:rPr>
        <w:t>(Tax Identification Number) - This the number that identifies the billing entity.  The TIN will be used to connect each EC to the entity under which they bill for purposes of calculating MIPS scores or APM participation.</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lastRenderedPageBreak/>
        <w:t>VBP/VBMP/VM </w:t>
      </w:r>
      <w:r w:rsidRPr="00292457">
        <w:rPr>
          <w:rFonts w:ascii="Open Sans" w:eastAsia="Times New Roman" w:hAnsi="Open Sans" w:cs="Open Sans"/>
          <w:color w:val="55616D"/>
          <w:sz w:val="24"/>
          <w:szCs w:val="24"/>
        </w:rPr>
        <w:t>(</w:t>
      </w:r>
      <w:hyperlink r:id="rId21" w:anchor="What is the Value-Based Payment Modifier (Value Modifier)" w:history="1">
        <w:r w:rsidRPr="00292457">
          <w:rPr>
            <w:rFonts w:ascii="Open Sans" w:eastAsia="Times New Roman" w:hAnsi="Open Sans" w:cs="Open Sans"/>
            <w:color w:val="00A0DF"/>
            <w:sz w:val="24"/>
            <w:szCs w:val="24"/>
          </w:rPr>
          <w:t>Value-based payment modifier</w:t>
        </w:r>
      </w:hyperlink>
      <w:r w:rsidRPr="00292457">
        <w:rPr>
          <w:rFonts w:ascii="Open Sans" w:eastAsia="Times New Roman" w:hAnsi="Open Sans" w:cs="Open Sans"/>
          <w:color w:val="55616D"/>
          <w:sz w:val="24"/>
          <w:szCs w:val="24"/>
        </w:rPr>
        <w:t>) - This program provides differential payment to a physician or group under the Medicare Physician Fee Schedule (PFS) based upon the quality of care furnished compared to the cost of care during a performance period. VM will also be consolidated into MIPS.</w:t>
      </w:r>
    </w:p>
    <w:p w:rsidR="00163BB2" w:rsidRDefault="00485105"/>
    <w:sectPr w:rsidR="0016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437A"/>
    <w:multiLevelType w:val="multilevel"/>
    <w:tmpl w:val="E34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817B8"/>
    <w:multiLevelType w:val="multilevel"/>
    <w:tmpl w:val="2100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60F5F"/>
    <w:multiLevelType w:val="multilevel"/>
    <w:tmpl w:val="B35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57"/>
    <w:rsid w:val="00292457"/>
    <w:rsid w:val="00485105"/>
    <w:rsid w:val="00A85D71"/>
    <w:rsid w:val="00C53B47"/>
    <w:rsid w:val="00E6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02EF9-BBF5-4D70-98DF-5E493ACF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24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57"/>
    <w:rPr>
      <w:rFonts w:ascii="Times New Roman" w:eastAsia="Times New Roman" w:hAnsi="Times New Roman" w:cs="Times New Roman"/>
      <w:b/>
      <w:bCs/>
      <w:kern w:val="36"/>
      <w:sz w:val="48"/>
      <w:szCs w:val="48"/>
    </w:rPr>
  </w:style>
  <w:style w:type="paragraph" w:customStyle="1" w:styleId="intro">
    <w:name w:val="intro"/>
    <w:basedOn w:val="Normal"/>
    <w:rsid w:val="002924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457"/>
  </w:style>
  <w:style w:type="character" w:styleId="Hyperlink">
    <w:name w:val="Hyperlink"/>
    <w:basedOn w:val="DefaultParagraphFont"/>
    <w:uiPriority w:val="99"/>
    <w:semiHidden/>
    <w:unhideWhenUsed/>
    <w:rsid w:val="00292457"/>
    <w:rPr>
      <w:color w:val="0000FF"/>
      <w:u w:val="single"/>
    </w:rPr>
  </w:style>
  <w:style w:type="character" w:styleId="Strong">
    <w:name w:val="Strong"/>
    <w:basedOn w:val="DefaultParagraphFont"/>
    <w:uiPriority w:val="22"/>
    <w:qFormat/>
    <w:rsid w:val="00292457"/>
    <w:rPr>
      <w:b/>
      <w:bCs/>
    </w:rPr>
  </w:style>
  <w:style w:type="character" w:styleId="Emphasis">
    <w:name w:val="Emphasis"/>
    <w:basedOn w:val="DefaultParagraphFont"/>
    <w:uiPriority w:val="20"/>
    <w:qFormat/>
    <w:rsid w:val="00292457"/>
    <w:rPr>
      <w:i/>
      <w:iCs/>
    </w:rPr>
  </w:style>
  <w:style w:type="paragraph" w:styleId="BalloonText">
    <w:name w:val="Balloon Text"/>
    <w:basedOn w:val="Normal"/>
    <w:link w:val="BalloonTextChar"/>
    <w:uiPriority w:val="99"/>
    <w:semiHidden/>
    <w:unhideWhenUsed/>
    <w:rsid w:val="0048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37996">
      <w:bodyDiv w:val="1"/>
      <w:marLeft w:val="0"/>
      <w:marRight w:val="0"/>
      <w:marTop w:val="0"/>
      <w:marBottom w:val="0"/>
      <w:divBdr>
        <w:top w:val="none" w:sz="0" w:space="0" w:color="auto"/>
        <w:left w:val="none" w:sz="0" w:space="0" w:color="auto"/>
        <w:bottom w:val="none" w:sz="0" w:space="0" w:color="auto"/>
        <w:right w:val="none" w:sz="0" w:space="0" w:color="auto"/>
      </w:divBdr>
      <w:divsChild>
        <w:div w:id="717239785">
          <w:marLeft w:val="0"/>
          <w:marRight w:val="0"/>
          <w:marTop w:val="0"/>
          <w:marBottom w:val="0"/>
          <w:divBdr>
            <w:top w:val="none" w:sz="0" w:space="0" w:color="auto"/>
            <w:left w:val="none" w:sz="0" w:space="0" w:color="auto"/>
            <w:bottom w:val="none" w:sz="0" w:space="0" w:color="auto"/>
            <w:right w:val="none" w:sz="0" w:space="0" w:color="auto"/>
          </w:divBdr>
          <w:divsChild>
            <w:div w:id="1442918121">
              <w:marLeft w:val="0"/>
              <w:marRight w:val="0"/>
              <w:marTop w:val="0"/>
              <w:marBottom w:val="0"/>
              <w:divBdr>
                <w:top w:val="none" w:sz="0" w:space="0" w:color="auto"/>
                <w:left w:val="none" w:sz="0" w:space="0" w:color="auto"/>
                <w:bottom w:val="none" w:sz="0" w:space="0" w:color="auto"/>
                <w:right w:val="none" w:sz="0" w:space="0" w:color="auto"/>
              </w:divBdr>
              <w:divsChild>
                <w:div w:id="1622154604">
                  <w:marLeft w:val="0"/>
                  <w:marRight w:val="0"/>
                  <w:marTop w:val="0"/>
                  <w:marBottom w:val="0"/>
                  <w:divBdr>
                    <w:top w:val="none" w:sz="0" w:space="0" w:color="auto"/>
                    <w:left w:val="none" w:sz="0" w:space="0" w:color="auto"/>
                    <w:bottom w:val="none" w:sz="0" w:space="0" w:color="auto"/>
                    <w:right w:val="none" w:sz="0" w:space="0" w:color="auto"/>
                  </w:divBdr>
                  <w:divsChild>
                    <w:div w:id="283193710">
                      <w:marLeft w:val="0"/>
                      <w:marRight w:val="0"/>
                      <w:marTop w:val="0"/>
                      <w:marBottom w:val="0"/>
                      <w:divBdr>
                        <w:top w:val="none" w:sz="0" w:space="0" w:color="auto"/>
                        <w:left w:val="none" w:sz="0" w:space="0" w:color="auto"/>
                        <w:bottom w:val="none" w:sz="0" w:space="0" w:color="auto"/>
                        <w:right w:val="none" w:sz="0" w:space="0" w:color="auto"/>
                      </w:divBdr>
                      <w:divsChild>
                        <w:div w:id="603419366">
                          <w:marLeft w:val="0"/>
                          <w:marRight w:val="0"/>
                          <w:marTop w:val="0"/>
                          <w:marBottom w:val="0"/>
                          <w:divBdr>
                            <w:top w:val="none" w:sz="0" w:space="0" w:color="auto"/>
                            <w:left w:val="none" w:sz="0" w:space="0" w:color="auto"/>
                            <w:bottom w:val="none" w:sz="0" w:space="0" w:color="auto"/>
                            <w:right w:val="none" w:sz="0" w:space="0" w:color="auto"/>
                          </w:divBdr>
                          <w:divsChild>
                            <w:div w:id="1340084903">
                              <w:marLeft w:val="0"/>
                              <w:marRight w:val="0"/>
                              <w:marTop w:val="0"/>
                              <w:marBottom w:val="0"/>
                              <w:divBdr>
                                <w:top w:val="none" w:sz="0" w:space="0" w:color="auto"/>
                                <w:left w:val="none" w:sz="0" w:space="0" w:color="auto"/>
                                <w:bottom w:val="none" w:sz="0" w:space="0" w:color="auto"/>
                                <w:right w:val="none" w:sz="0" w:space="0" w:color="auto"/>
                              </w:divBdr>
                              <w:divsChild>
                                <w:div w:id="1721593742">
                                  <w:marLeft w:val="0"/>
                                  <w:marRight w:val="0"/>
                                  <w:marTop w:val="0"/>
                                  <w:marBottom w:val="0"/>
                                  <w:divBdr>
                                    <w:top w:val="none" w:sz="0" w:space="0" w:color="auto"/>
                                    <w:left w:val="none" w:sz="0" w:space="0" w:color="auto"/>
                                    <w:bottom w:val="none" w:sz="0" w:space="0" w:color="auto"/>
                                    <w:right w:val="none" w:sz="0" w:space="0" w:color="auto"/>
                                  </w:divBdr>
                                  <w:divsChild>
                                    <w:div w:id="10069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cms.gov/index.html" TargetMode="External"/><Relationship Id="rId13" Type="http://schemas.openxmlformats.org/officeDocument/2006/relationships/hyperlink" Target="https://www.acponline.org/practice-resources/business-resources/health-information-technology/meaningful-use" TargetMode="External"/><Relationship Id="rId18" Type="http://schemas.openxmlformats.org/officeDocument/2006/relationships/hyperlink" Target="https://www.cms.gov/Medicare/Quality-Initiatives-Patient-Assessment-Instruments/Value-Based-Programs/MACRA-MIPS-and-APMs/NPRM-QPP-Fact-Sheet.pdf" TargetMode="External"/><Relationship Id="rId3" Type="http://schemas.openxmlformats.org/officeDocument/2006/relationships/settings" Target="settings.xml"/><Relationship Id="rId21" Type="http://schemas.openxmlformats.org/officeDocument/2006/relationships/hyperlink" Target="https://www.cms.gov/Medicare/Medicare-Fee-for-Service-Payment/PhysicianFeedbackProgram/ValueBasedPaymentModifier.html" TargetMode="External"/><Relationship Id="rId7" Type="http://schemas.openxmlformats.org/officeDocument/2006/relationships/hyperlink" Target="https://www.medicaid.gov/medicaid-chip-program-information/program-information/medicaid-and-chip-program-information.html" TargetMode="External"/><Relationship Id="rId12" Type="http://schemas.openxmlformats.org/officeDocument/2006/relationships/hyperlink" Target="https://www.cms.gov/Medicare/Medicare-Fee-for-Service-Payment/sharedsavingsprogram/" TargetMode="External"/><Relationship Id="rId17" Type="http://schemas.openxmlformats.org/officeDocument/2006/relationships/hyperlink" Target="https://www.cms.gov/medicare/quality-initiatives-patient-assessment-instruments/pqrs/qualified-clinical-data-registry-reporting.html" TargetMode="External"/><Relationship Id="rId2" Type="http://schemas.openxmlformats.org/officeDocument/2006/relationships/styles" Target="styles.xml"/><Relationship Id="rId16" Type="http://schemas.openxmlformats.org/officeDocument/2006/relationships/hyperlink" Target="https://www.cms.gov/Medicare/Quality-Initiatives-Patient-Assessment-Instruments/PQRS/index.html?redirect=/PQRI/15_MeasureCodes.asp" TargetMode="External"/><Relationship Id="rId20" Type="http://schemas.openxmlformats.org/officeDocument/2006/relationships/hyperlink" Target="https://www.acponline.org/practice-resources/business-resources/payment/transforming-clinical-practice-initiative" TargetMode="External"/><Relationship Id="rId1" Type="http://schemas.openxmlformats.org/officeDocument/2006/relationships/numbering" Target="numbering.xml"/><Relationship Id="rId6" Type="http://schemas.openxmlformats.org/officeDocument/2006/relationships/hyperlink" Target="https://innovation.cms.gov/initiatives/comprehensive-ESRD-care/" TargetMode="External"/><Relationship Id="rId11" Type="http://schemas.openxmlformats.org/officeDocument/2006/relationships/hyperlink" Target="https://www.cms.gov/Medicare/Quality-Initiatives-Patient-Assessment-Instruments/Value-Based-Programs/MACRA-MIPS-and-APMs/MACRA-MIPS-and-APMs.html" TargetMode="External"/><Relationship Id="rId5" Type="http://schemas.openxmlformats.org/officeDocument/2006/relationships/hyperlink" Target="https://www.acponline.org/practice-resources/business-resources/payment/medicare/macra" TargetMode="External"/><Relationship Id="rId15" Type="http://schemas.openxmlformats.org/officeDocument/2006/relationships/hyperlink" Target="https://www.acponline.org/practice-resources/business-resources/payment/models/pcmh" TargetMode="External"/><Relationship Id="rId23" Type="http://schemas.openxmlformats.org/officeDocument/2006/relationships/theme" Target="theme/theme1.xml"/><Relationship Id="rId10" Type="http://schemas.openxmlformats.org/officeDocument/2006/relationships/hyperlink" Target="https://innovation.cms.gov/initiatives/comprehensive-primary-care-plus/" TargetMode="External"/><Relationship Id="rId19" Type="http://schemas.openxmlformats.org/officeDocument/2006/relationships/hyperlink" Target="https://www.cms.gov/Medicare/Medicare-Fee-for-Service-Payment/PhysicianFeedbackProgram/index.html" TargetMode="External"/><Relationship Id="rId4" Type="http://schemas.openxmlformats.org/officeDocument/2006/relationships/webSettings" Target="webSettings.xml"/><Relationship Id="rId9" Type="http://schemas.openxmlformats.org/officeDocument/2006/relationships/hyperlink" Target="https://innovation.cms.gov/initiatives/Comprehensive-Primary-Care-Initiative/" TargetMode="External"/><Relationship Id="rId14" Type="http://schemas.openxmlformats.org/officeDocument/2006/relationships/hyperlink" Target="https://innovation.cms.gov/initiatives/Oncology-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Whitmire</dc:creator>
  <cp:keywords/>
  <dc:description/>
  <cp:lastModifiedBy>Melanie Phelps</cp:lastModifiedBy>
  <cp:revision>3</cp:revision>
  <cp:lastPrinted>2016-11-11T21:09:00Z</cp:lastPrinted>
  <dcterms:created xsi:type="dcterms:W3CDTF">2016-11-11T16:16:00Z</dcterms:created>
  <dcterms:modified xsi:type="dcterms:W3CDTF">2016-11-11T21:10:00Z</dcterms:modified>
</cp:coreProperties>
</file>