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94DA3" w14:textId="77777777" w:rsidR="00B8577B" w:rsidRPr="00C91AF7" w:rsidRDefault="00B8577B" w:rsidP="00A4579B">
      <w:pPr>
        <w:jc w:val="center"/>
        <w:outlineLvl w:val="0"/>
        <w:rPr>
          <w:rFonts w:ascii="Times New Roman" w:hAnsi="Times New Roman" w:cs="Times New Roman"/>
        </w:rPr>
      </w:pPr>
      <w:bookmarkStart w:id="0" w:name="_GoBack"/>
      <w:bookmarkEnd w:id="0"/>
      <w:r w:rsidRPr="00C91AF7">
        <w:rPr>
          <w:rFonts w:ascii="Times New Roman" w:hAnsi="Times New Roman" w:cs="Times New Roman"/>
          <w:b/>
        </w:rPr>
        <w:t xml:space="preserve">Medicare </w:t>
      </w:r>
      <w:r w:rsidRPr="00C91AF7">
        <w:rPr>
          <w:rFonts w:ascii="Times New Roman" w:hAnsi="Times New Roman" w:cs="Times New Roman"/>
          <w:b/>
          <w:color w:val="FF0000"/>
        </w:rPr>
        <w:t xml:space="preserve">Red Tape </w:t>
      </w:r>
      <w:r w:rsidRPr="00C91AF7">
        <w:rPr>
          <w:rFonts w:ascii="Times New Roman" w:hAnsi="Times New Roman" w:cs="Times New Roman"/>
          <w:b/>
        </w:rPr>
        <w:t>Relief Project</w:t>
      </w:r>
    </w:p>
    <w:p w14:paraId="3CE42980" w14:textId="77777777" w:rsidR="00B8577B" w:rsidRPr="00C91AF7" w:rsidRDefault="00B8577B" w:rsidP="00A4579B">
      <w:pPr>
        <w:jc w:val="center"/>
        <w:outlineLvl w:val="0"/>
        <w:rPr>
          <w:rFonts w:ascii="Times New Roman" w:hAnsi="Times New Roman" w:cs="Times New Roman"/>
        </w:rPr>
      </w:pPr>
      <w:r w:rsidRPr="00C91AF7">
        <w:rPr>
          <w:rFonts w:ascii="Times New Roman" w:hAnsi="Times New Roman" w:cs="Times New Roman"/>
        </w:rPr>
        <w:t xml:space="preserve">Submissions accepted by the Committee on Ways and Means, Subcommittee on Health </w:t>
      </w:r>
    </w:p>
    <w:p w14:paraId="1818F1B1" w14:textId="77777777" w:rsidR="00B8577B" w:rsidRPr="00C91AF7" w:rsidRDefault="00B8577B" w:rsidP="00B8577B">
      <w:pPr>
        <w:jc w:val="center"/>
        <w:rPr>
          <w:rFonts w:ascii="Times New Roman" w:hAnsi="Times New Roman" w:cs="Times New Roman"/>
        </w:rPr>
      </w:pPr>
    </w:p>
    <w:p w14:paraId="0FFCC3C8" w14:textId="77777777" w:rsidR="00B8577B" w:rsidRPr="00C91AF7" w:rsidRDefault="00B8577B" w:rsidP="00B8577B">
      <w:pPr>
        <w:jc w:val="center"/>
        <w:rPr>
          <w:rFonts w:ascii="Times New Roman" w:hAnsi="Times New Roman" w:cs="Times New Roman"/>
        </w:rPr>
      </w:pPr>
    </w:p>
    <w:p w14:paraId="6EEF9723" w14:textId="79DCCB7C" w:rsidR="00B8577B" w:rsidRPr="00C91AF7" w:rsidRDefault="004E1582" w:rsidP="00B8577B">
      <w:pPr>
        <w:rPr>
          <w:rFonts w:ascii="Times New Roman" w:hAnsi="Times New Roman" w:cs="Times New Roman"/>
        </w:rPr>
      </w:pPr>
      <w:r w:rsidRPr="00C91AF7">
        <w:rPr>
          <w:rFonts w:ascii="Times New Roman" w:hAnsi="Times New Roman" w:cs="Times New Roman"/>
        </w:rPr>
        <w:t xml:space="preserve">Date: </w:t>
      </w:r>
      <w:r w:rsidRPr="00C91AF7">
        <w:rPr>
          <w:rFonts w:ascii="Times New Roman" w:hAnsi="Times New Roman" w:cs="Times New Roman"/>
        </w:rPr>
        <w:tab/>
      </w:r>
      <w:r w:rsidRPr="00C91AF7">
        <w:rPr>
          <w:rFonts w:ascii="Times New Roman" w:hAnsi="Times New Roman" w:cs="Times New Roman"/>
          <w:color w:val="244061" w:themeColor="accent1" w:themeShade="80"/>
        </w:rPr>
        <w:t>August 2</w:t>
      </w:r>
      <w:r w:rsidR="005E17D3">
        <w:rPr>
          <w:rFonts w:ascii="Times New Roman" w:hAnsi="Times New Roman" w:cs="Times New Roman"/>
          <w:color w:val="244061" w:themeColor="accent1" w:themeShade="80"/>
        </w:rPr>
        <w:t>5</w:t>
      </w:r>
      <w:r w:rsidR="00B8577B" w:rsidRPr="00C91AF7">
        <w:rPr>
          <w:rFonts w:ascii="Times New Roman" w:hAnsi="Times New Roman" w:cs="Times New Roman"/>
          <w:color w:val="244061" w:themeColor="accent1" w:themeShade="80"/>
        </w:rPr>
        <w:t>, 2017</w:t>
      </w:r>
    </w:p>
    <w:p w14:paraId="7885FE7E" w14:textId="77777777" w:rsidR="00B8577B" w:rsidRPr="00C91AF7" w:rsidRDefault="00B8577B" w:rsidP="00B8577B">
      <w:pPr>
        <w:rPr>
          <w:rFonts w:ascii="Times New Roman" w:hAnsi="Times New Roman" w:cs="Times New Roman"/>
        </w:rPr>
      </w:pPr>
    </w:p>
    <w:p w14:paraId="47810D73" w14:textId="77777777" w:rsidR="00B8577B" w:rsidRPr="00C91AF7" w:rsidRDefault="00B8577B" w:rsidP="00B8577B">
      <w:pPr>
        <w:rPr>
          <w:rFonts w:ascii="Times New Roman" w:hAnsi="Times New Roman" w:cs="Times New Roman"/>
        </w:rPr>
      </w:pPr>
      <w:r w:rsidRPr="00C91AF7">
        <w:rPr>
          <w:rFonts w:ascii="Times New Roman" w:hAnsi="Times New Roman" w:cs="Times New Roman"/>
        </w:rPr>
        <w:t xml:space="preserve">Name of Submitting Organization:  </w:t>
      </w:r>
      <w:r w:rsidRPr="00C91AF7">
        <w:rPr>
          <w:rFonts w:ascii="Times New Roman" w:hAnsi="Times New Roman" w:cs="Times New Roman"/>
          <w:color w:val="244061" w:themeColor="accent1" w:themeShade="80"/>
        </w:rPr>
        <w:t xml:space="preserve">Physicians Advocacy Institute </w:t>
      </w:r>
    </w:p>
    <w:p w14:paraId="3CEDE159" w14:textId="1FA99F86" w:rsidR="00B8577B" w:rsidRPr="00C91AF7" w:rsidRDefault="00B8577B" w:rsidP="00B8577B">
      <w:pPr>
        <w:rPr>
          <w:rFonts w:ascii="Times New Roman" w:hAnsi="Times New Roman" w:cs="Times New Roman"/>
        </w:rPr>
      </w:pPr>
      <w:r w:rsidRPr="00C91AF7">
        <w:rPr>
          <w:rFonts w:ascii="Times New Roman" w:hAnsi="Times New Roman" w:cs="Times New Roman"/>
        </w:rPr>
        <w:t>Addre</w:t>
      </w:r>
      <w:r w:rsidR="004E1582" w:rsidRPr="00C91AF7">
        <w:rPr>
          <w:rFonts w:ascii="Times New Roman" w:hAnsi="Times New Roman" w:cs="Times New Roman"/>
        </w:rPr>
        <w:t>ss for Submitting Organization:</w:t>
      </w:r>
      <w:r w:rsidR="00C91AF7">
        <w:rPr>
          <w:rFonts w:ascii="Times New Roman" w:hAnsi="Times New Roman" w:cs="Times New Roman"/>
        </w:rPr>
        <w:t xml:space="preserve"> 1010 Mt. Pleasant Road, Winnetka, IL 60093</w:t>
      </w:r>
    </w:p>
    <w:p w14:paraId="0CEAF4BE" w14:textId="77777777" w:rsidR="00B8577B" w:rsidRPr="00C91AF7" w:rsidRDefault="00B8577B" w:rsidP="00B8577B">
      <w:pPr>
        <w:rPr>
          <w:rFonts w:ascii="Times New Roman" w:hAnsi="Times New Roman" w:cs="Times New Roman"/>
        </w:rPr>
      </w:pPr>
      <w:r w:rsidRPr="00C91AF7">
        <w:rPr>
          <w:rFonts w:ascii="Times New Roman" w:hAnsi="Times New Roman" w:cs="Times New Roman"/>
        </w:rPr>
        <w:t xml:space="preserve">Name of Submitting Staff:  </w:t>
      </w:r>
      <w:r w:rsidRPr="00C91AF7">
        <w:rPr>
          <w:rFonts w:ascii="Times New Roman" w:hAnsi="Times New Roman" w:cs="Times New Roman"/>
          <w:color w:val="244061" w:themeColor="accent1" w:themeShade="80"/>
        </w:rPr>
        <w:t>Kelly K</w:t>
      </w:r>
      <w:r w:rsidR="004E1582" w:rsidRPr="00C91AF7">
        <w:rPr>
          <w:rFonts w:ascii="Times New Roman" w:hAnsi="Times New Roman" w:cs="Times New Roman"/>
          <w:color w:val="244061" w:themeColor="accent1" w:themeShade="80"/>
        </w:rPr>
        <w:t>enney, Executive Vice President/CEO</w:t>
      </w:r>
    </w:p>
    <w:p w14:paraId="2CBBD599" w14:textId="77777777" w:rsidR="00B8577B" w:rsidRPr="00C91AF7" w:rsidRDefault="00B8577B" w:rsidP="00A4579B">
      <w:pPr>
        <w:outlineLvl w:val="0"/>
        <w:rPr>
          <w:rFonts w:ascii="Times New Roman" w:hAnsi="Times New Roman" w:cs="Times New Roman"/>
          <w:color w:val="244061" w:themeColor="accent1" w:themeShade="80"/>
        </w:rPr>
      </w:pPr>
      <w:r w:rsidRPr="00C91AF7">
        <w:rPr>
          <w:rFonts w:ascii="Times New Roman" w:hAnsi="Times New Roman" w:cs="Times New Roman"/>
        </w:rPr>
        <w:t xml:space="preserve">Submitting Staff Phone: </w:t>
      </w:r>
      <w:r w:rsidRPr="00C91AF7">
        <w:rPr>
          <w:rFonts w:ascii="Times New Roman" w:hAnsi="Times New Roman" w:cs="Times New Roman"/>
          <w:color w:val="244061" w:themeColor="accent1" w:themeShade="80"/>
        </w:rPr>
        <w:t>(312) 543-7955</w:t>
      </w:r>
    </w:p>
    <w:p w14:paraId="3CFE0761" w14:textId="77777777" w:rsidR="00B8577B" w:rsidRPr="00C91AF7" w:rsidRDefault="00B8577B" w:rsidP="00B8577B">
      <w:pPr>
        <w:rPr>
          <w:rFonts w:ascii="Times New Roman" w:hAnsi="Times New Roman" w:cs="Times New Roman"/>
        </w:rPr>
      </w:pPr>
      <w:r w:rsidRPr="00C91AF7">
        <w:rPr>
          <w:rFonts w:ascii="Times New Roman" w:hAnsi="Times New Roman" w:cs="Times New Roman"/>
        </w:rPr>
        <w:t xml:space="preserve">Submitting Staff E-mail:  </w:t>
      </w:r>
      <w:r w:rsidR="004E1582" w:rsidRPr="00C91AF7">
        <w:rPr>
          <w:rFonts w:ascii="Times New Roman" w:hAnsi="Times New Roman" w:cs="Times New Roman"/>
          <w:color w:val="244061" w:themeColor="accent1" w:themeShade="80"/>
          <w:bdr w:val="none" w:sz="0" w:space="0" w:color="auto" w:frame="1"/>
          <w:shd w:val="clear" w:color="auto" w:fill="FFFFFF"/>
        </w:rPr>
        <w:t>k</w:t>
      </w:r>
      <w:r w:rsidRPr="00C91AF7">
        <w:rPr>
          <w:rFonts w:ascii="Times New Roman" w:hAnsi="Times New Roman" w:cs="Times New Roman"/>
          <w:color w:val="244061" w:themeColor="accent1" w:themeShade="80"/>
          <w:bdr w:val="none" w:sz="0" w:space="0" w:color="auto" w:frame="1"/>
          <w:shd w:val="clear" w:color="auto" w:fill="FFFFFF"/>
        </w:rPr>
        <w:t>2strategiesllc@gmail.com</w:t>
      </w:r>
    </w:p>
    <w:p w14:paraId="786DE1F0" w14:textId="77777777" w:rsidR="00B8577B" w:rsidRPr="00C91AF7" w:rsidRDefault="00B8577B" w:rsidP="00B8577B">
      <w:pPr>
        <w:rPr>
          <w:rFonts w:ascii="Times New Roman" w:hAnsi="Times New Roman" w:cs="Times New Roman"/>
        </w:rPr>
      </w:pPr>
    </w:p>
    <w:p w14:paraId="2A819BE4" w14:textId="77777777" w:rsidR="00B8577B" w:rsidRPr="00C91AF7" w:rsidRDefault="00B8577B" w:rsidP="00A4579B">
      <w:pPr>
        <w:outlineLvl w:val="0"/>
        <w:rPr>
          <w:rFonts w:ascii="Times New Roman" w:hAnsi="Times New Roman" w:cs="Times New Roman"/>
        </w:rPr>
      </w:pPr>
      <w:r w:rsidRPr="00C91AF7">
        <w:rPr>
          <w:rFonts w:ascii="Times New Roman" w:hAnsi="Times New Roman" w:cs="Times New Roman"/>
        </w:rPr>
        <w:t xml:space="preserve">Statutory </w:t>
      </w:r>
      <w:r w:rsidRPr="00C91AF7">
        <w:rPr>
          <w:rFonts w:ascii="Times New Roman" w:hAnsi="Times New Roman" w:cs="Times New Roman"/>
        </w:rPr>
        <w:sym w:font="Wingdings" w:char="F0FC"/>
      </w:r>
      <w:r w:rsidRPr="00C91AF7">
        <w:rPr>
          <w:rFonts w:ascii="Times New Roman" w:hAnsi="Times New Roman" w:cs="Times New Roman"/>
        </w:rPr>
        <w:t xml:space="preserve">  </w:t>
      </w:r>
    </w:p>
    <w:p w14:paraId="49463C4A" w14:textId="77777777" w:rsidR="00B8577B" w:rsidRPr="00C91AF7" w:rsidRDefault="00B8577B" w:rsidP="00B8577B">
      <w:pPr>
        <w:rPr>
          <w:rFonts w:ascii="Times New Roman" w:hAnsi="Times New Roman" w:cs="Times New Roman"/>
        </w:rPr>
      </w:pPr>
      <w:r w:rsidRPr="00C91AF7">
        <w:rPr>
          <w:rFonts w:ascii="Times New Roman" w:hAnsi="Times New Roman" w:cs="Times New Roman"/>
        </w:rPr>
        <w:t xml:space="preserve">Regulatory </w:t>
      </w:r>
    </w:p>
    <w:p w14:paraId="2683C125" w14:textId="77777777" w:rsidR="00B8577B" w:rsidRPr="00C91AF7" w:rsidRDefault="00B8577B" w:rsidP="00B8577B">
      <w:pPr>
        <w:rPr>
          <w:rFonts w:ascii="Times New Roman" w:hAnsi="Times New Roman" w:cs="Times New Roman"/>
        </w:rPr>
      </w:pPr>
    </w:p>
    <w:p w14:paraId="27956F40" w14:textId="39CF40E0" w:rsidR="00B8577B" w:rsidRPr="00302568" w:rsidRDefault="00B8577B" w:rsidP="00B8577B">
      <w:pPr>
        <w:rPr>
          <w:rFonts w:ascii="Times New Roman" w:hAnsi="Times New Roman" w:cs="Times New Roman"/>
          <w:color w:val="244061" w:themeColor="accent1" w:themeShade="80"/>
        </w:rPr>
      </w:pPr>
      <w:r w:rsidRPr="00C91AF7">
        <w:rPr>
          <w:rFonts w:ascii="Times New Roman" w:hAnsi="Times New Roman" w:cs="Times New Roman"/>
          <w:b/>
        </w:rPr>
        <w:t xml:space="preserve">Please describe the submitting organization’s interaction with the Medicare program: </w:t>
      </w:r>
      <w:r w:rsidR="00C91AF7" w:rsidRPr="005E17D3">
        <w:rPr>
          <w:rFonts w:ascii="Times New Roman" w:hAnsi="Times New Roman" w:cs="Times New Roman"/>
        </w:rPr>
        <w:t>PAI is a not-for-profit advocacy organization focused on securing fair and transparent payment for physicians.  PAI’s Board is comprised of CEOs/former CEOs of state medical associations from California, Connecticut, Georgia, Nebraska, New York, North Carolina, South Carolina, Tennessee and Texas and a Kentucky physician.</w:t>
      </w:r>
      <w:r w:rsidR="00302568" w:rsidRPr="005E17D3">
        <w:rPr>
          <w:rFonts w:ascii="Times New Roman" w:hAnsi="Times New Roman" w:cs="Times New Roman"/>
        </w:rPr>
        <w:t xml:space="preserve">   A significant portion of the members of these and other states’ medical societies treat Medicare patients and submit claims to Medicare.</w:t>
      </w:r>
    </w:p>
    <w:p w14:paraId="7D41EF2C" w14:textId="77777777" w:rsidR="00B8577B" w:rsidRPr="00C91AF7" w:rsidRDefault="00B8577B" w:rsidP="00B8577B">
      <w:pPr>
        <w:rPr>
          <w:rFonts w:ascii="Times New Roman" w:hAnsi="Times New Roman" w:cs="Times New Roman"/>
        </w:rPr>
      </w:pPr>
    </w:p>
    <w:p w14:paraId="3238F3E8" w14:textId="50292464" w:rsidR="00B8577B" w:rsidRPr="00F75588" w:rsidRDefault="00B8577B" w:rsidP="00B8577B">
      <w:pPr>
        <w:rPr>
          <w:rFonts w:ascii="Times New Roman" w:hAnsi="Times New Roman" w:cs="Times New Roman"/>
          <w:b/>
        </w:rPr>
      </w:pPr>
      <w:r w:rsidRPr="00C91AF7">
        <w:rPr>
          <w:rFonts w:ascii="Times New Roman" w:hAnsi="Times New Roman" w:cs="Times New Roman"/>
          <w:b/>
        </w:rPr>
        <w:t>Short Description</w:t>
      </w:r>
      <w:r w:rsidRPr="00F75588">
        <w:rPr>
          <w:rFonts w:ascii="Times New Roman" w:hAnsi="Times New Roman" w:cs="Times New Roman"/>
        </w:rPr>
        <w:t xml:space="preserve">:  </w:t>
      </w:r>
      <w:r w:rsidR="00C6274F" w:rsidRPr="00F75588">
        <w:rPr>
          <w:rFonts w:ascii="Times New Roman" w:hAnsi="Times New Roman" w:cs="Times New Roman"/>
          <w:b/>
        </w:rPr>
        <w:t>Physician-Owned Hospital (POH) growth and expansion restrictions </w:t>
      </w:r>
    </w:p>
    <w:p w14:paraId="4DF1CF2A" w14:textId="77777777" w:rsidR="00B8577B" w:rsidRPr="00F75588" w:rsidRDefault="00B8577B" w:rsidP="00B8577B">
      <w:pPr>
        <w:rPr>
          <w:rFonts w:ascii="Times New Roman" w:hAnsi="Times New Roman" w:cs="Times New Roman"/>
          <w:b/>
        </w:rPr>
      </w:pPr>
    </w:p>
    <w:p w14:paraId="50A56DD3" w14:textId="77777777" w:rsidR="00B8577B" w:rsidRPr="00C91AF7" w:rsidRDefault="00B8577B" w:rsidP="00B8577B">
      <w:pPr>
        <w:rPr>
          <w:rFonts w:ascii="Times New Roman" w:hAnsi="Times New Roman" w:cs="Times New Roman"/>
          <w:b/>
        </w:rPr>
      </w:pPr>
      <w:r w:rsidRPr="00C91AF7">
        <w:rPr>
          <w:rFonts w:ascii="Times New Roman" w:hAnsi="Times New Roman" w:cs="Times New Roman"/>
          <w:b/>
        </w:rPr>
        <w:t xml:space="preserve">Summary: </w:t>
      </w:r>
    </w:p>
    <w:p w14:paraId="071BAE3C" w14:textId="77777777" w:rsidR="00C6274F" w:rsidRPr="00C91AF7" w:rsidRDefault="00C6274F" w:rsidP="00B8577B">
      <w:pPr>
        <w:rPr>
          <w:rFonts w:ascii="Times New Roman" w:hAnsi="Times New Roman" w:cs="Times New Roman"/>
        </w:rPr>
      </w:pPr>
    </w:p>
    <w:tbl>
      <w:tblPr>
        <w:tblW w:w="0" w:type="auto"/>
        <w:tblCellMar>
          <w:left w:w="0" w:type="dxa"/>
          <w:right w:w="0" w:type="dxa"/>
        </w:tblCellMar>
        <w:tblLook w:val="04A0" w:firstRow="1" w:lastRow="0" w:firstColumn="1" w:lastColumn="0" w:noHBand="0" w:noVBand="1"/>
      </w:tblPr>
      <w:tblGrid>
        <w:gridCol w:w="9354"/>
        <w:gridCol w:w="156"/>
      </w:tblGrid>
      <w:tr w:rsidR="00C6274F" w:rsidRPr="00C91AF7" w14:paraId="33693429" w14:textId="77777777" w:rsidTr="00302568">
        <w:trPr>
          <w:trHeight w:val="5247"/>
        </w:trPr>
        <w:tc>
          <w:tcPr>
            <w:tcW w:w="0" w:type="auto"/>
            <w:tcMar>
              <w:top w:w="0" w:type="dxa"/>
              <w:left w:w="75" w:type="dxa"/>
              <w:bottom w:w="0" w:type="dxa"/>
              <w:right w:w="75" w:type="dxa"/>
            </w:tcMar>
            <w:hideMark/>
          </w:tcPr>
          <w:p w14:paraId="69F59D80" w14:textId="56BC586C" w:rsidR="00C6274F" w:rsidRPr="00C91AF7" w:rsidRDefault="00C6274F" w:rsidP="00971B79">
            <w:pPr>
              <w:rPr>
                <w:rFonts w:ascii="Times New Roman" w:hAnsi="Times New Roman" w:cs="Times New Roman"/>
              </w:rPr>
            </w:pPr>
            <w:r w:rsidRPr="00C91AF7">
              <w:rPr>
                <w:rFonts w:ascii="Times New Roman" w:hAnsi="Times New Roman" w:cs="Times New Roman"/>
              </w:rPr>
              <w:t>The statutory morator</w:t>
            </w:r>
            <w:r w:rsidR="005B0D65">
              <w:rPr>
                <w:rFonts w:ascii="Times New Roman" w:hAnsi="Times New Roman" w:cs="Times New Roman"/>
              </w:rPr>
              <w:t xml:space="preserve">ia on physician-owned hospitals have created an artificial, unfair advantage in today’s health care marketplace.  As the provider market continues to consolidate, hospitals have taken advantage of these restrictions to acquire physician practices at an unprecedented rate.  PAI studied this trend, and found that between 2012-15, there was a near-80% increase in hospital acquisitions of physician practices. </w:t>
            </w:r>
            <w:r w:rsidR="00241A90">
              <w:rPr>
                <w:rFonts w:ascii="Times New Roman" w:hAnsi="Times New Roman" w:cs="Times New Roman"/>
              </w:rPr>
              <w:t>The vast majority of these acquisitions were made by non-POHs. As a result</w:t>
            </w:r>
            <w:r w:rsidR="005B0D65">
              <w:rPr>
                <w:rFonts w:ascii="Times New Roman" w:hAnsi="Times New Roman" w:cs="Times New Roman"/>
              </w:rPr>
              <w:t xml:space="preserve">, administrators and non-clinicians are </w:t>
            </w:r>
            <w:r w:rsidR="00241A90">
              <w:rPr>
                <w:rFonts w:ascii="Times New Roman" w:hAnsi="Times New Roman" w:cs="Times New Roman"/>
              </w:rPr>
              <w:t xml:space="preserve">increasingly </w:t>
            </w:r>
            <w:r w:rsidR="005B0D65">
              <w:rPr>
                <w:rFonts w:ascii="Times New Roman" w:hAnsi="Times New Roman" w:cs="Times New Roman"/>
              </w:rPr>
              <w:t>driving medical decisions</w:t>
            </w:r>
            <w:r w:rsidR="00241A90">
              <w:rPr>
                <w:rFonts w:ascii="Times New Roman" w:hAnsi="Times New Roman" w:cs="Times New Roman"/>
              </w:rPr>
              <w:t xml:space="preserve">.  </w:t>
            </w:r>
            <w:r w:rsidRPr="00C91AF7">
              <w:rPr>
                <w:rFonts w:ascii="Times New Roman" w:hAnsi="Times New Roman" w:cs="Times New Roman"/>
              </w:rPr>
              <w:t>Non-POH competitors have benefited from the growth and expansion restrictions facing POHs, despite POHs’ superior performance on many Medicare quality programs</w:t>
            </w:r>
            <w:r w:rsidR="005B0D65">
              <w:rPr>
                <w:rFonts w:ascii="Times New Roman" w:hAnsi="Times New Roman" w:cs="Times New Roman"/>
              </w:rPr>
              <w:t xml:space="preserve">. </w:t>
            </w:r>
            <w:r w:rsidRPr="00C91AF7">
              <w:rPr>
                <w:rFonts w:ascii="Times New Roman" w:hAnsi="Times New Roman" w:cs="Times New Roman"/>
              </w:rPr>
              <w:t> </w:t>
            </w:r>
          </w:p>
          <w:p w14:paraId="50E104E9" w14:textId="77777777" w:rsidR="00C6274F" w:rsidRDefault="00C6274F" w:rsidP="00971B79">
            <w:pPr>
              <w:rPr>
                <w:rFonts w:ascii="Times New Roman" w:hAnsi="Times New Roman" w:cs="Times New Roman"/>
              </w:rPr>
            </w:pPr>
          </w:p>
          <w:p w14:paraId="10EB2FB9" w14:textId="42178EF9" w:rsidR="005B0D65" w:rsidRDefault="005B0D65" w:rsidP="00971B79">
            <w:pPr>
              <w:rPr>
                <w:rFonts w:ascii="Times New Roman" w:hAnsi="Times New Roman" w:cs="Times New Roman"/>
              </w:rPr>
            </w:pPr>
            <w:r>
              <w:rPr>
                <w:rFonts w:ascii="Times New Roman" w:hAnsi="Times New Roman" w:cs="Times New Roman"/>
              </w:rPr>
              <w:t>There is no justification for prohibiting physicians from owning and controlling hospitals while allowing hospital administrators to employ and control physicians. Physicians are professionally and ethically bound to serve the best interest of their patients. Hospital administrators are not.</w:t>
            </w:r>
            <w:r w:rsidR="00241A90">
              <w:rPr>
                <w:rFonts w:ascii="Times New Roman" w:hAnsi="Times New Roman" w:cs="Times New Roman"/>
              </w:rPr>
              <w:t xml:space="preserve"> </w:t>
            </w:r>
            <w:r>
              <w:rPr>
                <w:rFonts w:ascii="Times New Roman" w:hAnsi="Times New Roman" w:cs="Times New Roman"/>
              </w:rPr>
              <w:t>Patient interests are far better served by allowing physicians to exercise control over the facilities in wh</w:t>
            </w:r>
            <w:r w:rsidR="00241A90">
              <w:rPr>
                <w:rFonts w:ascii="Times New Roman" w:hAnsi="Times New Roman" w:cs="Times New Roman"/>
              </w:rPr>
              <w:t xml:space="preserve">ich patient care is delivered. </w:t>
            </w:r>
            <w:r>
              <w:rPr>
                <w:rFonts w:ascii="Times New Roman" w:hAnsi="Times New Roman" w:cs="Times New Roman"/>
              </w:rPr>
              <w:t xml:space="preserve">Seven of the top ten hospitals receiving quality bonuses in the Hospital Value-Based Purchasing Program in 2015 were physician-owned, and an analysis by Avalon Health Economics concluded that POHs are saving Medicare $3.2 billion over 10 years.  The prohibitions on hospital ownership should be removed immediately.  </w:t>
            </w:r>
          </w:p>
          <w:p w14:paraId="4600AECC" w14:textId="77777777" w:rsidR="00241A90" w:rsidRDefault="00241A90" w:rsidP="005B0D65">
            <w:pPr>
              <w:rPr>
                <w:rFonts w:ascii="Times New Roman" w:hAnsi="Times New Roman" w:cs="Times New Roman"/>
                <w:b/>
              </w:rPr>
            </w:pPr>
          </w:p>
          <w:p w14:paraId="0EA82E44" w14:textId="3B0C3CB1" w:rsidR="005B0D65" w:rsidRPr="00C91AF7" w:rsidRDefault="00241A90" w:rsidP="005B0D65">
            <w:pPr>
              <w:rPr>
                <w:rFonts w:ascii="Times New Roman" w:hAnsi="Times New Roman" w:cs="Times New Roman"/>
              </w:rPr>
            </w:pPr>
            <w:r w:rsidRPr="00241A90">
              <w:rPr>
                <w:rFonts w:ascii="Times New Roman" w:hAnsi="Times New Roman" w:cs="Times New Roman"/>
                <w:b/>
              </w:rPr>
              <w:t>Related Statute/Regulation:</w:t>
            </w:r>
            <w:r>
              <w:rPr>
                <w:rFonts w:ascii="Times New Roman" w:hAnsi="Times New Roman" w:cs="Times New Roman"/>
                <w:b/>
              </w:rPr>
              <w:t xml:space="preserve">  42 USC 1395nn</w:t>
            </w:r>
          </w:p>
        </w:tc>
        <w:tc>
          <w:tcPr>
            <w:tcW w:w="0" w:type="auto"/>
            <w:tcMar>
              <w:top w:w="0" w:type="dxa"/>
              <w:left w:w="75" w:type="dxa"/>
              <w:bottom w:w="0" w:type="dxa"/>
              <w:right w:w="75" w:type="dxa"/>
            </w:tcMar>
            <w:hideMark/>
          </w:tcPr>
          <w:p w14:paraId="6503965B" w14:textId="77777777" w:rsidR="00C6274F" w:rsidRPr="00C91AF7" w:rsidRDefault="00C6274F" w:rsidP="00971B79">
            <w:pPr>
              <w:rPr>
                <w:rFonts w:ascii="Times New Roman" w:hAnsi="Times New Roman" w:cs="Times New Roman"/>
              </w:rPr>
            </w:pPr>
          </w:p>
          <w:p w14:paraId="55AC0EFA" w14:textId="602A7E0D" w:rsidR="00C6274F" w:rsidRPr="00C91AF7" w:rsidRDefault="00C6274F" w:rsidP="00971B79">
            <w:pPr>
              <w:rPr>
                <w:rFonts w:ascii="Times New Roman" w:hAnsi="Times New Roman" w:cs="Times New Roman"/>
              </w:rPr>
            </w:pPr>
          </w:p>
          <w:p w14:paraId="44C77891" w14:textId="77777777" w:rsidR="00C6274F" w:rsidRPr="00C91AF7" w:rsidRDefault="00C6274F" w:rsidP="00971B79">
            <w:pPr>
              <w:rPr>
                <w:rFonts w:ascii="Times New Roman" w:hAnsi="Times New Roman" w:cs="Times New Roman"/>
              </w:rPr>
            </w:pPr>
          </w:p>
        </w:tc>
      </w:tr>
    </w:tbl>
    <w:p w14:paraId="1C08702B" w14:textId="77777777" w:rsidR="00B8577B" w:rsidRPr="00C91AF7" w:rsidRDefault="00B8577B" w:rsidP="00B8577B">
      <w:pPr>
        <w:rPr>
          <w:rFonts w:ascii="Times New Roman" w:hAnsi="Times New Roman" w:cs="Times New Roman"/>
        </w:rPr>
      </w:pPr>
    </w:p>
    <w:p w14:paraId="7A2898AA" w14:textId="77777777" w:rsidR="00C6274F" w:rsidRPr="00241A90" w:rsidRDefault="00B8577B" w:rsidP="00C6274F">
      <w:pPr>
        <w:rPr>
          <w:rFonts w:ascii="Times New Roman" w:hAnsi="Times New Roman" w:cs="Times New Roman"/>
          <w:b/>
          <w:sz w:val="24"/>
          <w:szCs w:val="24"/>
        </w:rPr>
      </w:pPr>
      <w:r w:rsidRPr="00241A90">
        <w:rPr>
          <w:rFonts w:ascii="Times New Roman" w:hAnsi="Times New Roman" w:cs="Times New Roman"/>
          <w:b/>
        </w:rPr>
        <w:t>Proposed Solution:</w:t>
      </w:r>
      <w:r w:rsidR="004E1582" w:rsidRPr="00241A90">
        <w:rPr>
          <w:rFonts w:ascii="Times New Roman" w:hAnsi="Times New Roman" w:cs="Times New Roman"/>
          <w:b/>
        </w:rPr>
        <w:t xml:space="preserve"> </w:t>
      </w:r>
    </w:p>
    <w:tbl>
      <w:tblPr>
        <w:tblW w:w="0" w:type="auto"/>
        <w:tblCellMar>
          <w:left w:w="0" w:type="dxa"/>
          <w:right w:w="0" w:type="dxa"/>
        </w:tblCellMar>
        <w:tblLook w:val="04A0" w:firstRow="1" w:lastRow="0" w:firstColumn="1" w:lastColumn="0" w:noHBand="0" w:noVBand="1"/>
      </w:tblPr>
      <w:tblGrid>
        <w:gridCol w:w="9510"/>
      </w:tblGrid>
      <w:tr w:rsidR="00C6274F" w:rsidRPr="00C91AF7" w14:paraId="40ADA25B" w14:textId="77777777" w:rsidTr="00C6274F">
        <w:tc>
          <w:tcPr>
            <w:tcW w:w="0" w:type="auto"/>
            <w:tcMar>
              <w:top w:w="0" w:type="dxa"/>
              <w:left w:w="75" w:type="dxa"/>
              <w:bottom w:w="0" w:type="dxa"/>
              <w:right w:w="75" w:type="dxa"/>
            </w:tcMar>
            <w:hideMark/>
          </w:tcPr>
          <w:p w14:paraId="79C5AA44" w14:textId="0C05A545" w:rsidR="00C6274F" w:rsidRPr="00C91AF7" w:rsidRDefault="00C6274F" w:rsidP="0010612B">
            <w:pPr>
              <w:rPr>
                <w:rFonts w:ascii="Times New Roman" w:hAnsi="Times New Roman" w:cs="Times New Roman"/>
              </w:rPr>
            </w:pPr>
            <w:r w:rsidRPr="00C91AF7">
              <w:rPr>
                <w:rFonts w:ascii="Times New Roman" w:hAnsi="Times New Roman" w:cs="Times New Roman"/>
              </w:rPr>
              <w:t>Strike the ACA’s restriction on POH growth and expansion and allow POHs to fairly c</w:t>
            </w:r>
            <w:r w:rsidR="005B0D65">
              <w:rPr>
                <w:rFonts w:ascii="Times New Roman" w:hAnsi="Times New Roman" w:cs="Times New Roman"/>
              </w:rPr>
              <w:t>ompete with non-POH competitors.</w:t>
            </w:r>
          </w:p>
        </w:tc>
      </w:tr>
    </w:tbl>
    <w:p w14:paraId="134612E8" w14:textId="77777777" w:rsidR="004E1582" w:rsidRPr="00C91AF7" w:rsidRDefault="004E1582" w:rsidP="00B8577B">
      <w:pPr>
        <w:rPr>
          <w:rFonts w:ascii="Times New Roman" w:hAnsi="Times New Roman" w:cs="Times New Roman"/>
          <w:sz w:val="24"/>
          <w:szCs w:val="24"/>
        </w:rPr>
      </w:pPr>
    </w:p>
    <w:sectPr w:rsidR="004E1582" w:rsidRPr="00C91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C6369"/>
    <w:multiLevelType w:val="hybridMultilevel"/>
    <w:tmpl w:val="FCC26B5C"/>
    <w:lvl w:ilvl="0" w:tplc="53FC834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9254C9"/>
    <w:multiLevelType w:val="hybridMultilevel"/>
    <w:tmpl w:val="B8868A3A"/>
    <w:lvl w:ilvl="0" w:tplc="53FC834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77B"/>
    <w:rsid w:val="00014E42"/>
    <w:rsid w:val="00241A90"/>
    <w:rsid w:val="00302568"/>
    <w:rsid w:val="004E1582"/>
    <w:rsid w:val="005B0D65"/>
    <w:rsid w:val="005E17D3"/>
    <w:rsid w:val="007003E6"/>
    <w:rsid w:val="00701B17"/>
    <w:rsid w:val="00A4579B"/>
    <w:rsid w:val="00B8577B"/>
    <w:rsid w:val="00C6274F"/>
    <w:rsid w:val="00C62E5C"/>
    <w:rsid w:val="00C91AF7"/>
    <w:rsid w:val="00E178BE"/>
    <w:rsid w:val="00F75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9316"/>
  <w15:docId w15:val="{113650C3-E0AB-4B19-9F66-BCE8A508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577B"/>
    <w:rPr>
      <w:color w:val="0000FF"/>
      <w:u w:val="single"/>
    </w:rPr>
  </w:style>
  <w:style w:type="paragraph" w:styleId="DocumentMap">
    <w:name w:val="Document Map"/>
    <w:basedOn w:val="Normal"/>
    <w:link w:val="DocumentMapChar"/>
    <w:uiPriority w:val="99"/>
    <w:semiHidden/>
    <w:unhideWhenUsed/>
    <w:rsid w:val="00A4579B"/>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4579B"/>
    <w:rPr>
      <w:rFonts w:ascii="Times New Roman" w:hAnsi="Times New Roman" w:cs="Times New Roman"/>
      <w:sz w:val="24"/>
      <w:szCs w:val="24"/>
    </w:rPr>
  </w:style>
  <w:style w:type="paragraph" w:customStyle="1" w:styleId="p1">
    <w:name w:val="p1"/>
    <w:basedOn w:val="Normal"/>
    <w:rsid w:val="00A4579B"/>
    <w:rPr>
      <w:rFonts w:ascii="Times New Roman" w:hAnsi="Times New Roman" w:cs="Times New Roman"/>
      <w:sz w:val="18"/>
      <w:szCs w:val="18"/>
    </w:rPr>
  </w:style>
  <w:style w:type="paragraph" w:customStyle="1" w:styleId="p2">
    <w:name w:val="p2"/>
    <w:basedOn w:val="Normal"/>
    <w:rsid w:val="00A4579B"/>
    <w:rPr>
      <w:rFonts w:ascii="Times New Roman" w:hAnsi="Times New Roman" w:cs="Times New Roman"/>
      <w:sz w:val="17"/>
      <w:szCs w:val="17"/>
    </w:rPr>
  </w:style>
  <w:style w:type="paragraph" w:customStyle="1" w:styleId="p3">
    <w:name w:val="p3"/>
    <w:basedOn w:val="Normal"/>
    <w:rsid w:val="00A4579B"/>
    <w:rPr>
      <w:rFonts w:ascii="Times New Roman" w:hAnsi="Times New Roman" w:cs="Times New Roman"/>
      <w:sz w:val="17"/>
      <w:szCs w:val="17"/>
    </w:rPr>
  </w:style>
  <w:style w:type="character" w:customStyle="1" w:styleId="apple-converted-space">
    <w:name w:val="apple-converted-space"/>
    <w:basedOn w:val="DefaultParagraphFont"/>
    <w:rsid w:val="00A4579B"/>
  </w:style>
  <w:style w:type="paragraph" w:styleId="ListParagraph">
    <w:name w:val="List Paragraph"/>
    <w:basedOn w:val="Normal"/>
    <w:uiPriority w:val="34"/>
    <w:qFormat/>
    <w:rsid w:val="00A45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4688">
      <w:bodyDiv w:val="1"/>
      <w:marLeft w:val="0"/>
      <w:marRight w:val="0"/>
      <w:marTop w:val="0"/>
      <w:marBottom w:val="0"/>
      <w:divBdr>
        <w:top w:val="none" w:sz="0" w:space="0" w:color="auto"/>
        <w:left w:val="none" w:sz="0" w:space="0" w:color="auto"/>
        <w:bottom w:val="none" w:sz="0" w:space="0" w:color="auto"/>
        <w:right w:val="none" w:sz="0" w:space="0" w:color="auto"/>
      </w:divBdr>
    </w:div>
    <w:div w:id="91248801">
      <w:bodyDiv w:val="1"/>
      <w:marLeft w:val="0"/>
      <w:marRight w:val="0"/>
      <w:marTop w:val="0"/>
      <w:marBottom w:val="0"/>
      <w:divBdr>
        <w:top w:val="none" w:sz="0" w:space="0" w:color="auto"/>
        <w:left w:val="none" w:sz="0" w:space="0" w:color="auto"/>
        <w:bottom w:val="none" w:sz="0" w:space="0" w:color="auto"/>
        <w:right w:val="none" w:sz="0" w:space="0" w:color="auto"/>
      </w:divBdr>
    </w:div>
    <w:div w:id="617033168">
      <w:bodyDiv w:val="1"/>
      <w:marLeft w:val="0"/>
      <w:marRight w:val="0"/>
      <w:marTop w:val="0"/>
      <w:marBottom w:val="0"/>
      <w:divBdr>
        <w:top w:val="none" w:sz="0" w:space="0" w:color="auto"/>
        <w:left w:val="none" w:sz="0" w:space="0" w:color="auto"/>
        <w:bottom w:val="none" w:sz="0" w:space="0" w:color="auto"/>
        <w:right w:val="none" w:sz="0" w:space="0" w:color="auto"/>
      </w:divBdr>
    </w:div>
    <w:div w:id="192552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Abramson</dc:creator>
  <cp:lastModifiedBy>Elaine Ellis</cp:lastModifiedBy>
  <cp:revision>2</cp:revision>
  <dcterms:created xsi:type="dcterms:W3CDTF">2017-09-05T14:11:00Z</dcterms:created>
  <dcterms:modified xsi:type="dcterms:W3CDTF">2017-09-05T14:11:00Z</dcterms:modified>
</cp:coreProperties>
</file>