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94DA3" w14:textId="77777777" w:rsidR="00B8577B" w:rsidRPr="00CC33A6" w:rsidRDefault="00B8577B" w:rsidP="00A4579B">
      <w:pPr>
        <w:jc w:val="center"/>
        <w:outlineLvl w:val="0"/>
        <w:rPr>
          <w:rFonts w:ascii="Times New Roman" w:hAnsi="Times New Roman" w:cs="Times New Roman"/>
        </w:rPr>
      </w:pPr>
      <w:bookmarkStart w:id="0" w:name="_GoBack"/>
      <w:bookmarkEnd w:id="0"/>
      <w:r w:rsidRPr="00CC33A6">
        <w:rPr>
          <w:rFonts w:ascii="Times New Roman" w:hAnsi="Times New Roman" w:cs="Times New Roman"/>
          <w:b/>
        </w:rPr>
        <w:t xml:space="preserve">Medicare </w:t>
      </w:r>
      <w:r w:rsidRPr="00CC33A6">
        <w:rPr>
          <w:rFonts w:ascii="Times New Roman" w:hAnsi="Times New Roman" w:cs="Times New Roman"/>
          <w:b/>
          <w:color w:val="FF0000"/>
        </w:rPr>
        <w:t xml:space="preserve">Red Tape </w:t>
      </w:r>
      <w:r w:rsidRPr="00CC33A6">
        <w:rPr>
          <w:rFonts w:ascii="Times New Roman" w:hAnsi="Times New Roman" w:cs="Times New Roman"/>
          <w:b/>
        </w:rPr>
        <w:t>Relief Project</w:t>
      </w:r>
    </w:p>
    <w:p w14:paraId="3CE42980" w14:textId="77777777" w:rsidR="00B8577B" w:rsidRPr="00CC33A6" w:rsidRDefault="00B8577B" w:rsidP="00A4579B">
      <w:pPr>
        <w:jc w:val="center"/>
        <w:outlineLvl w:val="0"/>
        <w:rPr>
          <w:rFonts w:ascii="Times New Roman" w:hAnsi="Times New Roman" w:cs="Times New Roman"/>
        </w:rPr>
      </w:pPr>
      <w:r w:rsidRPr="00CC33A6">
        <w:rPr>
          <w:rFonts w:ascii="Times New Roman" w:hAnsi="Times New Roman" w:cs="Times New Roman"/>
        </w:rPr>
        <w:t xml:space="preserve">Submissions accepted by the Committee on Ways and Means, Subcommittee on Health </w:t>
      </w:r>
    </w:p>
    <w:p w14:paraId="1818F1B1" w14:textId="77777777" w:rsidR="00B8577B" w:rsidRPr="00CC33A6" w:rsidRDefault="00B8577B" w:rsidP="00B8577B">
      <w:pPr>
        <w:jc w:val="center"/>
        <w:rPr>
          <w:rFonts w:ascii="Times New Roman" w:hAnsi="Times New Roman" w:cs="Times New Roman"/>
        </w:rPr>
      </w:pPr>
    </w:p>
    <w:p w14:paraId="0FFCC3C8" w14:textId="77777777" w:rsidR="00B8577B" w:rsidRPr="00CC33A6" w:rsidRDefault="00B8577B" w:rsidP="00B8577B">
      <w:pPr>
        <w:jc w:val="center"/>
        <w:rPr>
          <w:rFonts w:ascii="Times New Roman" w:hAnsi="Times New Roman" w:cs="Times New Roman"/>
        </w:rPr>
      </w:pPr>
    </w:p>
    <w:p w14:paraId="6EEF9723" w14:textId="0347655B" w:rsidR="00B8577B" w:rsidRPr="00CC33A6" w:rsidRDefault="004E1582" w:rsidP="00B8577B">
      <w:pPr>
        <w:rPr>
          <w:rFonts w:ascii="Times New Roman" w:hAnsi="Times New Roman" w:cs="Times New Roman"/>
        </w:rPr>
      </w:pPr>
      <w:r w:rsidRPr="00CC33A6">
        <w:rPr>
          <w:rFonts w:ascii="Times New Roman" w:hAnsi="Times New Roman" w:cs="Times New Roman"/>
        </w:rPr>
        <w:t xml:space="preserve">Date: </w:t>
      </w:r>
      <w:r w:rsidRPr="00CC33A6">
        <w:rPr>
          <w:rFonts w:ascii="Times New Roman" w:hAnsi="Times New Roman" w:cs="Times New Roman"/>
        </w:rPr>
        <w:tab/>
      </w:r>
      <w:r w:rsidRPr="00CC33A6">
        <w:rPr>
          <w:rFonts w:ascii="Times New Roman" w:hAnsi="Times New Roman" w:cs="Times New Roman"/>
          <w:color w:val="244061" w:themeColor="accent1" w:themeShade="80"/>
        </w:rPr>
        <w:t>August 2</w:t>
      </w:r>
      <w:r w:rsidR="004B1A4F">
        <w:rPr>
          <w:rFonts w:ascii="Times New Roman" w:hAnsi="Times New Roman" w:cs="Times New Roman"/>
          <w:color w:val="244061" w:themeColor="accent1" w:themeShade="80"/>
        </w:rPr>
        <w:t>5</w:t>
      </w:r>
      <w:r w:rsidR="00B8577B" w:rsidRPr="00CC33A6">
        <w:rPr>
          <w:rFonts w:ascii="Times New Roman" w:hAnsi="Times New Roman" w:cs="Times New Roman"/>
          <w:color w:val="244061" w:themeColor="accent1" w:themeShade="80"/>
        </w:rPr>
        <w:t>, 2017</w:t>
      </w:r>
    </w:p>
    <w:p w14:paraId="7885FE7E" w14:textId="77777777" w:rsidR="00B8577B" w:rsidRPr="00CC33A6" w:rsidRDefault="00B8577B" w:rsidP="00B8577B">
      <w:pPr>
        <w:rPr>
          <w:rFonts w:ascii="Times New Roman" w:hAnsi="Times New Roman" w:cs="Times New Roman"/>
        </w:rPr>
      </w:pPr>
    </w:p>
    <w:p w14:paraId="47810D73" w14:textId="70FC575E" w:rsidR="00B8577B" w:rsidRPr="00CC33A6" w:rsidRDefault="00B8577B" w:rsidP="00B8577B">
      <w:pPr>
        <w:rPr>
          <w:rFonts w:ascii="Times New Roman" w:hAnsi="Times New Roman" w:cs="Times New Roman"/>
        </w:rPr>
      </w:pPr>
      <w:r w:rsidRPr="00CC33A6">
        <w:rPr>
          <w:rFonts w:ascii="Times New Roman" w:hAnsi="Times New Roman" w:cs="Times New Roman"/>
        </w:rPr>
        <w:t xml:space="preserve">Name of Submitting Organization:  </w:t>
      </w:r>
      <w:r w:rsidRPr="00CC33A6">
        <w:rPr>
          <w:rFonts w:ascii="Times New Roman" w:hAnsi="Times New Roman" w:cs="Times New Roman"/>
          <w:color w:val="244061" w:themeColor="accent1" w:themeShade="80"/>
        </w:rPr>
        <w:t xml:space="preserve">Physicians Advocacy Institute </w:t>
      </w:r>
    </w:p>
    <w:p w14:paraId="3CEDE159" w14:textId="3AD53CCF" w:rsidR="00B8577B" w:rsidRPr="00CC33A6" w:rsidRDefault="00B8577B" w:rsidP="00B8577B">
      <w:pPr>
        <w:rPr>
          <w:rFonts w:ascii="Times New Roman" w:hAnsi="Times New Roman" w:cs="Times New Roman"/>
        </w:rPr>
      </w:pPr>
      <w:r w:rsidRPr="00CC33A6">
        <w:rPr>
          <w:rFonts w:ascii="Times New Roman" w:hAnsi="Times New Roman" w:cs="Times New Roman"/>
        </w:rPr>
        <w:t>Addre</w:t>
      </w:r>
      <w:r w:rsidR="004E1582" w:rsidRPr="00CC33A6">
        <w:rPr>
          <w:rFonts w:ascii="Times New Roman" w:hAnsi="Times New Roman" w:cs="Times New Roman"/>
        </w:rPr>
        <w:t>ss for Submitting Organization:</w:t>
      </w:r>
      <w:r w:rsidR="00CC33A6" w:rsidRPr="00CC33A6">
        <w:rPr>
          <w:rFonts w:ascii="Times New Roman" w:hAnsi="Times New Roman" w:cs="Times New Roman"/>
        </w:rPr>
        <w:t xml:space="preserve"> 1010 Mt. Pleasant Road, Winnetka, IL 60093</w:t>
      </w:r>
    </w:p>
    <w:p w14:paraId="0CEAF4BE" w14:textId="77777777" w:rsidR="00B8577B" w:rsidRPr="00CC33A6" w:rsidRDefault="00B8577B" w:rsidP="00B8577B">
      <w:pPr>
        <w:rPr>
          <w:rFonts w:ascii="Times New Roman" w:hAnsi="Times New Roman" w:cs="Times New Roman"/>
        </w:rPr>
      </w:pPr>
      <w:r w:rsidRPr="00CC33A6">
        <w:rPr>
          <w:rFonts w:ascii="Times New Roman" w:hAnsi="Times New Roman" w:cs="Times New Roman"/>
        </w:rPr>
        <w:t xml:space="preserve">Name of Submitting Staff:  </w:t>
      </w:r>
      <w:r w:rsidRPr="00CC33A6">
        <w:rPr>
          <w:rFonts w:ascii="Times New Roman" w:hAnsi="Times New Roman" w:cs="Times New Roman"/>
          <w:color w:val="244061" w:themeColor="accent1" w:themeShade="80"/>
        </w:rPr>
        <w:t>Kelly K</w:t>
      </w:r>
      <w:r w:rsidR="004E1582" w:rsidRPr="00CC33A6">
        <w:rPr>
          <w:rFonts w:ascii="Times New Roman" w:hAnsi="Times New Roman" w:cs="Times New Roman"/>
          <w:color w:val="244061" w:themeColor="accent1" w:themeShade="80"/>
        </w:rPr>
        <w:t>enney, Executive Vice President/CEO</w:t>
      </w:r>
    </w:p>
    <w:p w14:paraId="2CBBD599" w14:textId="77777777" w:rsidR="00B8577B" w:rsidRPr="00CC33A6" w:rsidRDefault="00B8577B" w:rsidP="00A4579B">
      <w:pPr>
        <w:outlineLvl w:val="0"/>
        <w:rPr>
          <w:rFonts w:ascii="Times New Roman" w:hAnsi="Times New Roman" w:cs="Times New Roman"/>
          <w:color w:val="244061" w:themeColor="accent1" w:themeShade="80"/>
        </w:rPr>
      </w:pPr>
      <w:r w:rsidRPr="00CC33A6">
        <w:rPr>
          <w:rFonts w:ascii="Times New Roman" w:hAnsi="Times New Roman" w:cs="Times New Roman"/>
        </w:rPr>
        <w:t xml:space="preserve">Submitting Staff Phone: </w:t>
      </w:r>
      <w:r w:rsidRPr="00CC33A6">
        <w:rPr>
          <w:rFonts w:ascii="Times New Roman" w:hAnsi="Times New Roman" w:cs="Times New Roman"/>
          <w:color w:val="244061" w:themeColor="accent1" w:themeShade="80"/>
        </w:rPr>
        <w:t>(312) 543-7955</w:t>
      </w:r>
    </w:p>
    <w:p w14:paraId="3CFE0761" w14:textId="77777777" w:rsidR="00B8577B" w:rsidRPr="00CC33A6" w:rsidRDefault="00B8577B" w:rsidP="00B8577B">
      <w:pPr>
        <w:rPr>
          <w:rFonts w:ascii="Times New Roman" w:hAnsi="Times New Roman" w:cs="Times New Roman"/>
        </w:rPr>
      </w:pPr>
      <w:r w:rsidRPr="00CC33A6">
        <w:rPr>
          <w:rFonts w:ascii="Times New Roman" w:hAnsi="Times New Roman" w:cs="Times New Roman"/>
        </w:rPr>
        <w:t xml:space="preserve">Submitting Staff E-mail:  </w:t>
      </w:r>
      <w:r w:rsidR="004E1582" w:rsidRPr="00CC33A6">
        <w:rPr>
          <w:rFonts w:ascii="Times New Roman" w:hAnsi="Times New Roman" w:cs="Times New Roman"/>
          <w:color w:val="244061" w:themeColor="accent1" w:themeShade="80"/>
          <w:bdr w:val="none" w:sz="0" w:space="0" w:color="auto" w:frame="1"/>
          <w:shd w:val="clear" w:color="auto" w:fill="FFFFFF"/>
        </w:rPr>
        <w:t>k</w:t>
      </w:r>
      <w:r w:rsidRPr="00CC33A6">
        <w:rPr>
          <w:rFonts w:ascii="Times New Roman" w:hAnsi="Times New Roman" w:cs="Times New Roman"/>
          <w:color w:val="244061" w:themeColor="accent1" w:themeShade="80"/>
          <w:bdr w:val="none" w:sz="0" w:space="0" w:color="auto" w:frame="1"/>
          <w:shd w:val="clear" w:color="auto" w:fill="FFFFFF"/>
        </w:rPr>
        <w:t>2strategiesllc@gmail.com</w:t>
      </w:r>
    </w:p>
    <w:p w14:paraId="786DE1F0" w14:textId="77777777" w:rsidR="00B8577B" w:rsidRPr="00CC33A6" w:rsidRDefault="00B8577B" w:rsidP="00B8577B">
      <w:pPr>
        <w:rPr>
          <w:rFonts w:ascii="Times New Roman" w:hAnsi="Times New Roman" w:cs="Times New Roman"/>
        </w:rPr>
      </w:pPr>
    </w:p>
    <w:p w14:paraId="2A819BE4" w14:textId="77777777" w:rsidR="00B8577B" w:rsidRPr="00CC33A6" w:rsidRDefault="00B8577B" w:rsidP="00A4579B">
      <w:pPr>
        <w:outlineLvl w:val="0"/>
        <w:rPr>
          <w:rFonts w:ascii="Times New Roman" w:hAnsi="Times New Roman" w:cs="Times New Roman"/>
        </w:rPr>
      </w:pPr>
      <w:r w:rsidRPr="00CC33A6">
        <w:rPr>
          <w:rFonts w:ascii="Times New Roman" w:hAnsi="Times New Roman" w:cs="Times New Roman"/>
        </w:rPr>
        <w:t xml:space="preserve">Statutory </w:t>
      </w:r>
      <w:r w:rsidRPr="00CC33A6">
        <w:rPr>
          <w:rFonts w:ascii="Times New Roman" w:hAnsi="Times New Roman" w:cs="Times New Roman"/>
        </w:rPr>
        <w:sym w:font="Wingdings" w:char="F0FC"/>
      </w:r>
      <w:r w:rsidRPr="00CC33A6">
        <w:rPr>
          <w:rFonts w:ascii="Times New Roman" w:hAnsi="Times New Roman" w:cs="Times New Roman"/>
        </w:rPr>
        <w:t xml:space="preserve">  </w:t>
      </w:r>
    </w:p>
    <w:p w14:paraId="49463C4A" w14:textId="77777777" w:rsidR="00B8577B" w:rsidRPr="00CC33A6" w:rsidRDefault="00B8577B" w:rsidP="00B8577B">
      <w:pPr>
        <w:rPr>
          <w:rFonts w:ascii="Times New Roman" w:hAnsi="Times New Roman" w:cs="Times New Roman"/>
        </w:rPr>
      </w:pPr>
      <w:r w:rsidRPr="00CC33A6">
        <w:rPr>
          <w:rFonts w:ascii="Times New Roman" w:hAnsi="Times New Roman" w:cs="Times New Roman"/>
        </w:rPr>
        <w:t xml:space="preserve">Regulatory </w:t>
      </w:r>
    </w:p>
    <w:p w14:paraId="2683C125" w14:textId="77777777" w:rsidR="00B8577B" w:rsidRPr="00CC33A6" w:rsidRDefault="00B8577B" w:rsidP="00B8577B">
      <w:pPr>
        <w:rPr>
          <w:rFonts w:ascii="Times New Roman" w:hAnsi="Times New Roman" w:cs="Times New Roman"/>
        </w:rPr>
      </w:pPr>
    </w:p>
    <w:p w14:paraId="27956F40" w14:textId="77777777" w:rsidR="00B8577B" w:rsidRPr="00DF47EB" w:rsidRDefault="00B8577B" w:rsidP="00B8577B">
      <w:pPr>
        <w:rPr>
          <w:rFonts w:ascii="Times New Roman" w:hAnsi="Times New Roman" w:cs="Times New Roman"/>
          <w:b/>
        </w:rPr>
      </w:pPr>
      <w:r w:rsidRPr="00DF47EB">
        <w:rPr>
          <w:rFonts w:ascii="Times New Roman" w:hAnsi="Times New Roman" w:cs="Times New Roman"/>
          <w:b/>
        </w:rPr>
        <w:t xml:space="preserve">Please describe the submitting organization’s interaction with the Medicare program: </w:t>
      </w:r>
    </w:p>
    <w:p w14:paraId="2ADEF8E3" w14:textId="77777777" w:rsidR="00471A65" w:rsidRPr="00D02705" w:rsidRDefault="004E1582" w:rsidP="00471A65">
      <w:pPr>
        <w:rPr>
          <w:rFonts w:ascii="Times New Roman" w:hAnsi="Times New Roman" w:cs="Times New Roman"/>
        </w:rPr>
      </w:pPr>
      <w:r w:rsidRPr="00D02705">
        <w:rPr>
          <w:rFonts w:ascii="Times New Roman" w:hAnsi="Times New Roman" w:cs="Times New Roman"/>
        </w:rPr>
        <w:t>PAI is a not-for-profit advocacy organization focused on securing fair and transparent payment for physicians.  PAI’s Board is comprised of CEOs/former CEOs of state medical associations from California, Connecticut, Georgia, Nebraska, New York, North Carolina, South Carolina, Tennessee and Texas and a Kentucky physician.</w:t>
      </w:r>
      <w:r w:rsidR="00471A65" w:rsidRPr="00D02705">
        <w:rPr>
          <w:rFonts w:ascii="Times New Roman" w:hAnsi="Times New Roman" w:cs="Times New Roman"/>
        </w:rPr>
        <w:t xml:space="preserve">  A significant portion of the members of these and other states’ medical societies treat Medicare patients and submit claims to Medicare.</w:t>
      </w:r>
    </w:p>
    <w:p w14:paraId="7D41EF2C" w14:textId="77777777" w:rsidR="00B8577B" w:rsidRPr="00CC33A6" w:rsidRDefault="00B8577B" w:rsidP="00B8577B">
      <w:pPr>
        <w:rPr>
          <w:rFonts w:ascii="Times New Roman" w:hAnsi="Times New Roman" w:cs="Times New Roman"/>
        </w:rPr>
      </w:pPr>
    </w:p>
    <w:p w14:paraId="65817380" w14:textId="77777777" w:rsidR="00B8577B" w:rsidRPr="00DB7B56" w:rsidRDefault="00B8577B" w:rsidP="00B8577B">
      <w:pPr>
        <w:rPr>
          <w:rFonts w:ascii="Times New Roman" w:hAnsi="Times New Roman" w:cs="Times New Roman"/>
          <w:b/>
        </w:rPr>
      </w:pPr>
      <w:r w:rsidRPr="00DB7B56">
        <w:rPr>
          <w:rFonts w:ascii="Times New Roman" w:hAnsi="Times New Roman" w:cs="Times New Roman"/>
          <w:b/>
        </w:rPr>
        <w:t xml:space="preserve">Short Description:  </w:t>
      </w:r>
    </w:p>
    <w:p w14:paraId="087031B3" w14:textId="420A2905" w:rsidR="00D639CD" w:rsidRPr="00CC33A6" w:rsidRDefault="00D639CD" w:rsidP="00D639CD">
      <w:pPr>
        <w:rPr>
          <w:rFonts w:ascii="Times New Roman" w:hAnsi="Times New Roman" w:cs="Times New Roman"/>
        </w:rPr>
      </w:pPr>
      <w:r w:rsidRPr="00CC33A6">
        <w:rPr>
          <w:rFonts w:ascii="Times New Roman" w:hAnsi="Times New Roman" w:cs="Times New Roman"/>
        </w:rPr>
        <w:t>Recovery Audit Program – Timing of contingency payments</w:t>
      </w:r>
      <w:r w:rsidR="00957B19" w:rsidRPr="00CC33A6">
        <w:rPr>
          <w:rFonts w:ascii="Times New Roman" w:hAnsi="Times New Roman" w:cs="Times New Roman"/>
        </w:rPr>
        <w:t xml:space="preserve"> to RAC contractors</w:t>
      </w:r>
      <w:r w:rsidRPr="00CC33A6">
        <w:rPr>
          <w:rFonts w:ascii="Times New Roman" w:hAnsi="Times New Roman" w:cs="Times New Roman"/>
        </w:rPr>
        <w:t xml:space="preserve"> for appealed determinations </w:t>
      </w:r>
      <w:r w:rsidR="00957B19" w:rsidRPr="00CC33A6">
        <w:rPr>
          <w:rFonts w:ascii="Times New Roman" w:hAnsi="Times New Roman" w:cs="Times New Roman"/>
        </w:rPr>
        <w:t>should not be made until after a physician has received an unfavorable decision at the third, ALJ, level of appeal.</w:t>
      </w:r>
    </w:p>
    <w:p w14:paraId="4DF1CF2A" w14:textId="77777777" w:rsidR="00B8577B" w:rsidRPr="00CC33A6" w:rsidRDefault="00B8577B" w:rsidP="00B8577B">
      <w:pPr>
        <w:rPr>
          <w:rFonts w:ascii="Times New Roman" w:hAnsi="Times New Roman" w:cs="Times New Roman"/>
        </w:rPr>
      </w:pPr>
    </w:p>
    <w:p w14:paraId="50A56DD3" w14:textId="77777777" w:rsidR="00B8577B" w:rsidRPr="00DB7B56" w:rsidRDefault="00B8577B" w:rsidP="00B8577B">
      <w:pPr>
        <w:rPr>
          <w:rFonts w:ascii="Times New Roman" w:hAnsi="Times New Roman" w:cs="Times New Roman"/>
          <w:b/>
        </w:rPr>
      </w:pPr>
      <w:r w:rsidRPr="00DB7B56">
        <w:rPr>
          <w:rFonts w:ascii="Times New Roman" w:hAnsi="Times New Roman" w:cs="Times New Roman"/>
          <w:b/>
        </w:rPr>
        <w:t xml:space="preserve">Summary: </w:t>
      </w:r>
    </w:p>
    <w:p w14:paraId="7573233F" w14:textId="46BBFF58" w:rsidR="00A4579B" w:rsidRPr="00CC33A6" w:rsidRDefault="00754040" w:rsidP="00A4579B">
      <w:pPr>
        <w:rPr>
          <w:rFonts w:ascii="Times New Roman" w:hAnsi="Times New Roman" w:cs="Times New Roman"/>
        </w:rPr>
      </w:pPr>
      <w:r w:rsidRPr="00CC33A6">
        <w:rPr>
          <w:rFonts w:ascii="Times New Roman" w:hAnsi="Times New Roman" w:cs="Times New Roman"/>
        </w:rPr>
        <w:t>By statute, RAC auditors are paid on a contingency basis</w:t>
      </w:r>
      <w:r w:rsidR="00EE3021" w:rsidRPr="00CC33A6">
        <w:rPr>
          <w:rFonts w:ascii="Times New Roman" w:hAnsi="Times New Roman" w:cs="Times New Roman"/>
        </w:rPr>
        <w:t xml:space="preserve"> out of the funds collected from providers for alleged overpayments</w:t>
      </w:r>
      <w:r w:rsidRPr="00CC33A6">
        <w:rPr>
          <w:rFonts w:ascii="Times New Roman" w:hAnsi="Times New Roman" w:cs="Times New Roman"/>
        </w:rPr>
        <w:t>. (42 U.S.C. § 1395ddd(h)(1)).</w:t>
      </w:r>
      <w:r w:rsidRPr="00CC33A6">
        <w:rPr>
          <w:rStyle w:val="FootnoteReference"/>
          <w:rFonts w:ascii="Times New Roman" w:hAnsi="Times New Roman" w:cs="Times New Roman"/>
        </w:rPr>
        <w:footnoteReference w:id="1"/>
      </w:r>
      <w:r w:rsidRPr="00CC33A6">
        <w:rPr>
          <w:rFonts w:ascii="Times New Roman" w:hAnsi="Times New Roman" w:cs="Times New Roman"/>
        </w:rPr>
        <w:t xml:space="preserve">  In cases in which a physician has appealed a RAC audit determination, the </w:t>
      </w:r>
      <w:r w:rsidR="00D639CD" w:rsidRPr="00CC33A6">
        <w:rPr>
          <w:rFonts w:ascii="Times New Roman" w:hAnsi="Times New Roman" w:cs="Times New Roman"/>
        </w:rPr>
        <w:t>RAC</w:t>
      </w:r>
      <w:r w:rsidRPr="00CC33A6">
        <w:rPr>
          <w:rFonts w:ascii="Times New Roman" w:hAnsi="Times New Roman" w:cs="Times New Roman"/>
        </w:rPr>
        <w:t xml:space="preserve"> auditor</w:t>
      </w:r>
      <w:r w:rsidR="00D639CD" w:rsidRPr="00CC33A6">
        <w:rPr>
          <w:rFonts w:ascii="Times New Roman" w:hAnsi="Times New Roman" w:cs="Times New Roman"/>
        </w:rPr>
        <w:t xml:space="preserve">s are currently paid </w:t>
      </w:r>
      <w:r w:rsidRPr="00CC33A6">
        <w:rPr>
          <w:rFonts w:ascii="Times New Roman" w:hAnsi="Times New Roman" w:cs="Times New Roman"/>
        </w:rPr>
        <w:t xml:space="preserve">their </w:t>
      </w:r>
      <w:r w:rsidR="00D639CD" w:rsidRPr="00CC33A6">
        <w:rPr>
          <w:rFonts w:ascii="Times New Roman" w:hAnsi="Times New Roman" w:cs="Times New Roman"/>
        </w:rPr>
        <w:t xml:space="preserve">contingency fees after </w:t>
      </w:r>
      <w:r w:rsidRPr="00CC33A6">
        <w:rPr>
          <w:rFonts w:ascii="Times New Roman" w:hAnsi="Times New Roman" w:cs="Times New Roman"/>
        </w:rPr>
        <w:t xml:space="preserve">the </w:t>
      </w:r>
      <w:r w:rsidR="00D639CD" w:rsidRPr="00CC33A6">
        <w:rPr>
          <w:rFonts w:ascii="Times New Roman" w:hAnsi="Times New Roman" w:cs="Times New Roman"/>
        </w:rPr>
        <w:t xml:space="preserve">physician </w:t>
      </w:r>
      <w:r w:rsidRPr="00CC33A6">
        <w:rPr>
          <w:rFonts w:ascii="Times New Roman" w:hAnsi="Times New Roman" w:cs="Times New Roman"/>
        </w:rPr>
        <w:t>has “</w:t>
      </w:r>
      <w:r w:rsidR="00D639CD" w:rsidRPr="00CC33A6">
        <w:rPr>
          <w:rFonts w:ascii="Times New Roman" w:hAnsi="Times New Roman" w:cs="Times New Roman"/>
        </w:rPr>
        <w:t>receive</w:t>
      </w:r>
      <w:r w:rsidRPr="00CC33A6">
        <w:rPr>
          <w:rFonts w:ascii="Times New Roman" w:hAnsi="Times New Roman" w:cs="Times New Roman"/>
        </w:rPr>
        <w:t xml:space="preserve">d an unfavorable decision at the first (MAC) and second (QIC) </w:t>
      </w:r>
      <w:r w:rsidR="00D639CD" w:rsidRPr="00CC33A6">
        <w:rPr>
          <w:rFonts w:ascii="Times New Roman" w:hAnsi="Times New Roman" w:cs="Times New Roman"/>
        </w:rPr>
        <w:t xml:space="preserve"> level of </w:t>
      </w:r>
      <w:r w:rsidRPr="00CC33A6">
        <w:rPr>
          <w:rFonts w:ascii="Times New Roman" w:hAnsi="Times New Roman" w:cs="Times New Roman"/>
        </w:rPr>
        <w:t xml:space="preserve">the </w:t>
      </w:r>
      <w:r w:rsidR="00D639CD" w:rsidRPr="00CC33A6">
        <w:rPr>
          <w:rFonts w:ascii="Times New Roman" w:hAnsi="Times New Roman" w:cs="Times New Roman"/>
        </w:rPr>
        <w:t>appeal</w:t>
      </w:r>
      <w:r w:rsidRPr="00CC33A6">
        <w:rPr>
          <w:rFonts w:ascii="Times New Roman" w:hAnsi="Times New Roman" w:cs="Times New Roman"/>
        </w:rPr>
        <w:t xml:space="preserve"> process</w:t>
      </w:r>
      <w:r w:rsidR="00D639CD" w:rsidRPr="00CC33A6">
        <w:rPr>
          <w:rFonts w:ascii="Times New Roman" w:hAnsi="Times New Roman" w:cs="Times New Roman"/>
        </w:rPr>
        <w:t>.</w:t>
      </w:r>
      <w:r w:rsidRPr="00CC33A6">
        <w:rPr>
          <w:rFonts w:ascii="Times New Roman" w:hAnsi="Times New Roman" w:cs="Times New Roman"/>
        </w:rPr>
        <w:t>”</w:t>
      </w:r>
      <w:r w:rsidR="00D639CD" w:rsidRPr="00CC33A6">
        <w:rPr>
          <w:rFonts w:ascii="Times New Roman" w:hAnsi="Times New Roman" w:cs="Times New Roman"/>
        </w:rPr>
        <w:t xml:space="preserve"> </w:t>
      </w:r>
      <w:r w:rsidRPr="00CC33A6">
        <w:rPr>
          <w:rFonts w:ascii="Times New Roman" w:hAnsi="Times New Roman" w:cs="Times New Roman"/>
        </w:rPr>
        <w:t xml:space="preserve">(Statement of Work for the Part A/B Medicare Audit Program Regions 1 – 4, November 30, 2016, p. 50).  There are, however, </w:t>
      </w:r>
      <w:r w:rsidRPr="00CC33A6">
        <w:rPr>
          <w:rFonts w:ascii="Times New Roman" w:hAnsi="Times New Roman" w:cs="Times New Roman"/>
          <w:i/>
        </w:rPr>
        <w:t>five</w:t>
      </w:r>
      <w:r w:rsidRPr="00CC33A6">
        <w:rPr>
          <w:rFonts w:ascii="Times New Roman" w:hAnsi="Times New Roman" w:cs="Times New Roman"/>
        </w:rPr>
        <w:t xml:space="preserve"> levels of appeals from a RAC’s audit findings.  Over the last several years, for physicians filing appeals, a significant percentage of the RACs findings have been overturned. For example, </w:t>
      </w:r>
      <w:r w:rsidR="0018371D" w:rsidRPr="00CC33A6">
        <w:rPr>
          <w:rFonts w:ascii="Times New Roman" w:hAnsi="Times New Roman" w:cs="Times New Roman"/>
        </w:rPr>
        <w:t xml:space="preserve">CMS’ </w:t>
      </w:r>
      <w:r w:rsidR="0018371D" w:rsidRPr="00CC33A6">
        <w:rPr>
          <w:rFonts w:ascii="Times New Roman" w:hAnsi="Times New Roman" w:cs="Times New Roman"/>
          <w:i/>
        </w:rPr>
        <w:t>Recovery Auditing in Medicare for FY 2015</w:t>
      </w:r>
      <w:r w:rsidR="0018371D" w:rsidRPr="00CC33A6">
        <w:rPr>
          <w:rFonts w:ascii="Times New Roman" w:hAnsi="Times New Roman" w:cs="Times New Roman"/>
        </w:rPr>
        <w:t xml:space="preserve"> report to Congress showed that 70% of the RAC audit findings appealed by physicians were overturned.</w:t>
      </w:r>
      <w:r w:rsidR="00EE3021" w:rsidRPr="00CC33A6">
        <w:rPr>
          <w:rFonts w:ascii="Times New Roman" w:hAnsi="Times New Roman" w:cs="Times New Roman"/>
        </w:rPr>
        <w:t xml:space="preserve"> (p. 18).  Over half of the RAC</w:t>
      </w:r>
      <w:r w:rsidR="00D639CD" w:rsidRPr="00CC33A6">
        <w:rPr>
          <w:rFonts w:ascii="Times New Roman" w:hAnsi="Times New Roman" w:cs="Times New Roman"/>
        </w:rPr>
        <w:t xml:space="preserve"> audit</w:t>
      </w:r>
      <w:r w:rsidR="00EE3021" w:rsidRPr="00CC33A6">
        <w:rPr>
          <w:rFonts w:ascii="Times New Roman" w:hAnsi="Times New Roman" w:cs="Times New Roman"/>
        </w:rPr>
        <w:t xml:space="preserve"> finding</w:t>
      </w:r>
      <w:r w:rsidR="00D639CD" w:rsidRPr="00CC33A6">
        <w:rPr>
          <w:rFonts w:ascii="Times New Roman" w:hAnsi="Times New Roman" w:cs="Times New Roman"/>
        </w:rPr>
        <w:t>s</w:t>
      </w:r>
      <w:r w:rsidR="00EE3021" w:rsidRPr="00CC33A6">
        <w:rPr>
          <w:rFonts w:ascii="Times New Roman" w:hAnsi="Times New Roman" w:cs="Times New Roman"/>
        </w:rPr>
        <w:t xml:space="preserve"> for physicians’ claims, however, are</w:t>
      </w:r>
      <w:r w:rsidR="00D639CD" w:rsidRPr="00CC33A6">
        <w:rPr>
          <w:rFonts w:ascii="Times New Roman" w:hAnsi="Times New Roman" w:cs="Times New Roman"/>
        </w:rPr>
        <w:t xml:space="preserve"> overturned in favor of physicians at the </w:t>
      </w:r>
      <w:r w:rsidR="00D639CD" w:rsidRPr="00CC33A6">
        <w:rPr>
          <w:rFonts w:ascii="Times New Roman" w:hAnsi="Times New Roman" w:cs="Times New Roman"/>
          <w:i/>
          <w:iCs/>
        </w:rPr>
        <w:t xml:space="preserve">third </w:t>
      </w:r>
      <w:r w:rsidR="00D639CD" w:rsidRPr="00CC33A6">
        <w:rPr>
          <w:rFonts w:ascii="Times New Roman" w:hAnsi="Times New Roman" w:cs="Times New Roman"/>
        </w:rPr>
        <w:t xml:space="preserve">level of </w:t>
      </w:r>
      <w:r w:rsidR="00EE3021" w:rsidRPr="00CC33A6">
        <w:rPr>
          <w:rFonts w:ascii="Times New Roman" w:hAnsi="Times New Roman" w:cs="Times New Roman"/>
        </w:rPr>
        <w:t>appeal, the ALJ level</w:t>
      </w:r>
      <w:r w:rsidR="0018371D" w:rsidRPr="00CC33A6">
        <w:rPr>
          <w:rFonts w:ascii="Times New Roman" w:hAnsi="Times New Roman" w:cs="Times New Roman"/>
        </w:rPr>
        <w:t>.</w:t>
      </w:r>
      <w:r w:rsidR="00D639CD" w:rsidRPr="00CC33A6">
        <w:rPr>
          <w:rFonts w:ascii="Times New Roman" w:hAnsi="Times New Roman" w:cs="Times New Roman"/>
        </w:rPr>
        <w:t xml:space="preserve"> </w:t>
      </w:r>
      <w:r w:rsidR="00EE3021" w:rsidRPr="00CC33A6">
        <w:rPr>
          <w:rFonts w:ascii="Times New Roman" w:hAnsi="Times New Roman" w:cs="Times New Roman"/>
        </w:rPr>
        <w:t>(</w:t>
      </w:r>
      <w:r w:rsidR="00EE3021" w:rsidRPr="00CC33A6">
        <w:rPr>
          <w:rFonts w:ascii="Times New Roman" w:hAnsi="Times New Roman" w:cs="Times New Roman"/>
          <w:i/>
        </w:rPr>
        <w:t xml:space="preserve">See, </w:t>
      </w:r>
      <w:r w:rsidR="00EE3021" w:rsidRPr="00CC33A6">
        <w:rPr>
          <w:rFonts w:ascii="Times New Roman" w:hAnsi="Times New Roman" w:cs="Times New Roman"/>
        </w:rPr>
        <w:t>Department of Health and Human Services Office of Inspector General Report OEI-02-10-3340, pp. 10 and</w:t>
      </w:r>
      <w:r w:rsidR="00957B19" w:rsidRPr="00CC33A6">
        <w:rPr>
          <w:rFonts w:ascii="Times New Roman" w:hAnsi="Times New Roman" w:cs="Times New Roman"/>
        </w:rPr>
        <w:t xml:space="preserve"> 24).   It is unfair</w:t>
      </w:r>
      <w:r w:rsidR="00EE3021" w:rsidRPr="00CC33A6">
        <w:rPr>
          <w:rFonts w:ascii="Times New Roman" w:hAnsi="Times New Roman" w:cs="Times New Roman"/>
        </w:rPr>
        <w:t xml:space="preserve"> to </w:t>
      </w:r>
      <w:r w:rsidR="00957B19" w:rsidRPr="00CC33A6">
        <w:rPr>
          <w:rFonts w:ascii="Times New Roman" w:hAnsi="Times New Roman" w:cs="Times New Roman"/>
        </w:rPr>
        <w:t xml:space="preserve">recoup alleged overpayments from physicians and to </w:t>
      </w:r>
      <w:r w:rsidR="00EE3021" w:rsidRPr="00CC33A6">
        <w:rPr>
          <w:rFonts w:ascii="Times New Roman" w:hAnsi="Times New Roman" w:cs="Times New Roman"/>
        </w:rPr>
        <w:t>pay the RAC contractors</w:t>
      </w:r>
      <w:r w:rsidR="00D639CD" w:rsidRPr="00CC33A6">
        <w:rPr>
          <w:rFonts w:ascii="Times New Roman" w:hAnsi="Times New Roman" w:cs="Times New Roman"/>
        </w:rPr>
        <w:t xml:space="preserve"> a</w:t>
      </w:r>
      <w:r w:rsidR="00EE3021" w:rsidRPr="00CC33A6">
        <w:rPr>
          <w:rFonts w:ascii="Times New Roman" w:hAnsi="Times New Roman" w:cs="Times New Roman"/>
        </w:rPr>
        <w:t xml:space="preserve">fter the second level of review when the </w:t>
      </w:r>
      <w:r w:rsidR="003757A2" w:rsidRPr="00CC33A6">
        <w:rPr>
          <w:rFonts w:ascii="Times New Roman" w:hAnsi="Times New Roman" w:cs="Times New Roman"/>
        </w:rPr>
        <w:t>RAC findings are likely to be overturned at the third level of appeal.</w:t>
      </w:r>
      <w:r w:rsidR="00D639CD" w:rsidRPr="00CC33A6">
        <w:rPr>
          <w:rFonts w:ascii="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156"/>
      </w:tblGrid>
      <w:tr w:rsidR="00A4579B" w:rsidRPr="00CC33A6" w14:paraId="0557EFB0" w14:textId="77777777" w:rsidTr="00A4579B">
        <w:tc>
          <w:tcPr>
            <w:tcW w:w="0" w:type="auto"/>
            <w:tcMar>
              <w:top w:w="0" w:type="dxa"/>
              <w:left w:w="75" w:type="dxa"/>
              <w:bottom w:w="0" w:type="dxa"/>
              <w:right w:w="75" w:type="dxa"/>
            </w:tcMar>
            <w:hideMark/>
          </w:tcPr>
          <w:p w14:paraId="1F3D14E9" w14:textId="77777777" w:rsidR="00A4579B" w:rsidRPr="00CC33A6" w:rsidRDefault="00A4579B" w:rsidP="00014E42">
            <w:pPr>
              <w:rPr>
                <w:rFonts w:ascii="Times New Roman" w:hAnsi="Times New Roman" w:cs="Times New Roman"/>
              </w:rPr>
            </w:pPr>
          </w:p>
        </w:tc>
      </w:tr>
    </w:tbl>
    <w:p w14:paraId="1992D987" w14:textId="77777777" w:rsidR="00B8577B" w:rsidRPr="00CC33A6" w:rsidRDefault="00B8577B" w:rsidP="00B8577B">
      <w:pPr>
        <w:rPr>
          <w:rFonts w:ascii="Times New Roman" w:hAnsi="Times New Roman" w:cs="Times New Roman"/>
        </w:rPr>
      </w:pPr>
    </w:p>
    <w:p w14:paraId="420E92E8" w14:textId="77777777" w:rsidR="00B8577B" w:rsidRPr="00CC33A6" w:rsidRDefault="00B8577B" w:rsidP="00B8577B">
      <w:pPr>
        <w:rPr>
          <w:rFonts w:ascii="Times New Roman" w:hAnsi="Times New Roman" w:cs="Times New Roman"/>
        </w:rPr>
      </w:pPr>
    </w:p>
    <w:p w14:paraId="4426A8CB" w14:textId="77777777" w:rsidR="00B8577B" w:rsidRPr="00DB7B56" w:rsidRDefault="00B8577B" w:rsidP="00B8577B">
      <w:pPr>
        <w:rPr>
          <w:rFonts w:ascii="Times New Roman" w:hAnsi="Times New Roman" w:cs="Times New Roman"/>
          <w:b/>
        </w:rPr>
      </w:pPr>
      <w:r w:rsidRPr="00DB7B56">
        <w:rPr>
          <w:rFonts w:ascii="Times New Roman" w:hAnsi="Times New Roman" w:cs="Times New Roman"/>
          <w:b/>
        </w:rPr>
        <w:t xml:space="preserve">Related Statute/Regulation: </w:t>
      </w:r>
    </w:p>
    <w:p w14:paraId="249A12E4" w14:textId="77777777" w:rsidR="00957B19" w:rsidRPr="00CC33A6" w:rsidRDefault="00957B19" w:rsidP="00B8577B">
      <w:pPr>
        <w:rPr>
          <w:rFonts w:ascii="Times New Roman" w:hAnsi="Times New Roman" w:cs="Times New Roman"/>
        </w:rPr>
      </w:pPr>
    </w:p>
    <w:p w14:paraId="1A265DC6" w14:textId="17088113" w:rsidR="004E1582" w:rsidRPr="00CC33A6" w:rsidRDefault="00957B19" w:rsidP="004E1582">
      <w:pPr>
        <w:rPr>
          <w:rFonts w:ascii="Times New Roman" w:hAnsi="Times New Roman" w:cs="Times New Roman"/>
        </w:rPr>
      </w:pPr>
      <w:r w:rsidRPr="00CC33A6">
        <w:rPr>
          <w:rFonts w:ascii="Times New Roman" w:hAnsi="Times New Roman" w:cs="Times New Roman"/>
        </w:rPr>
        <w:t>42 U.S.C. § 1395ddd(f)(2)(A)</w:t>
      </w:r>
    </w:p>
    <w:tbl>
      <w:tblPr>
        <w:tblW w:w="0" w:type="auto"/>
        <w:tblCellMar>
          <w:left w:w="0" w:type="dxa"/>
          <w:right w:w="0" w:type="dxa"/>
        </w:tblCellMar>
        <w:tblLook w:val="04A0" w:firstRow="1" w:lastRow="0" w:firstColumn="1" w:lastColumn="0" w:noHBand="0" w:noVBand="1"/>
      </w:tblPr>
      <w:tblGrid>
        <w:gridCol w:w="5381"/>
      </w:tblGrid>
      <w:tr w:rsidR="00D639CD" w:rsidRPr="00CC33A6" w14:paraId="29CAE66A" w14:textId="77777777" w:rsidTr="00F95E0B">
        <w:tc>
          <w:tcPr>
            <w:tcW w:w="0" w:type="auto"/>
            <w:tcMar>
              <w:top w:w="0" w:type="dxa"/>
              <w:left w:w="75" w:type="dxa"/>
              <w:bottom w:w="0" w:type="dxa"/>
              <w:right w:w="75" w:type="dxa"/>
            </w:tcMar>
            <w:hideMark/>
          </w:tcPr>
          <w:p w14:paraId="04D63C10" w14:textId="77777777" w:rsidR="00D639CD" w:rsidRPr="00CC33A6" w:rsidRDefault="00D639CD" w:rsidP="00F95E0B">
            <w:pPr>
              <w:rPr>
                <w:rFonts w:ascii="Times New Roman" w:hAnsi="Times New Roman" w:cs="Times New Roman"/>
              </w:rPr>
            </w:pPr>
            <w:r w:rsidRPr="00CC33A6">
              <w:rPr>
                <w:rFonts w:ascii="Times New Roman" w:hAnsi="Times New Roman" w:cs="Times New Roman"/>
              </w:rPr>
              <w:t xml:space="preserve">CMS </w:t>
            </w:r>
            <w:r w:rsidRPr="00CC33A6">
              <w:rPr>
                <w:rFonts w:ascii="Times New Roman" w:hAnsi="Times New Roman" w:cs="Times New Roman"/>
                <w:color w:val="0433FF"/>
              </w:rPr>
              <w:t xml:space="preserve">Statement of Work </w:t>
            </w:r>
            <w:r w:rsidRPr="00CC33A6">
              <w:rPr>
                <w:rFonts w:ascii="Times New Roman" w:hAnsi="Times New Roman" w:cs="Times New Roman"/>
              </w:rPr>
              <w:t>with Recovery Audit Contractors </w:t>
            </w:r>
          </w:p>
        </w:tc>
      </w:tr>
    </w:tbl>
    <w:p w14:paraId="1C08702B" w14:textId="77777777" w:rsidR="00B8577B" w:rsidRPr="00CC33A6" w:rsidRDefault="00B8577B" w:rsidP="00B8577B">
      <w:pPr>
        <w:rPr>
          <w:rFonts w:ascii="Times New Roman" w:hAnsi="Times New Roman" w:cs="Times New Roman"/>
        </w:rPr>
      </w:pPr>
    </w:p>
    <w:p w14:paraId="0AC3D969" w14:textId="77777777" w:rsidR="004E1582" w:rsidRPr="00CC33A6" w:rsidRDefault="00B8577B" w:rsidP="004E1582">
      <w:pPr>
        <w:pStyle w:val="p1"/>
        <w:rPr>
          <w:sz w:val="22"/>
          <w:szCs w:val="22"/>
        </w:rPr>
      </w:pPr>
      <w:r w:rsidRPr="00DB7B56">
        <w:rPr>
          <w:b/>
          <w:sz w:val="22"/>
          <w:szCs w:val="22"/>
        </w:rPr>
        <w:t>Proposed Solution</w:t>
      </w:r>
      <w:r w:rsidRPr="00CC33A6">
        <w:rPr>
          <w:sz w:val="22"/>
          <w:szCs w:val="22"/>
        </w:rPr>
        <w:t>:</w:t>
      </w:r>
      <w:r w:rsidR="004E1582" w:rsidRPr="00CC33A6">
        <w:rPr>
          <w:sz w:val="22"/>
          <w:szCs w:val="22"/>
        </w:rPr>
        <w:t xml:space="preserve"> </w:t>
      </w:r>
    </w:p>
    <w:p w14:paraId="5C8E7066" w14:textId="77777777" w:rsidR="00957B19" w:rsidRPr="00CC33A6" w:rsidRDefault="00957B19" w:rsidP="004E1582">
      <w:pPr>
        <w:pStyle w:val="p1"/>
        <w:rPr>
          <w:sz w:val="22"/>
          <w:szCs w:val="22"/>
        </w:rPr>
      </w:pPr>
    </w:p>
    <w:p w14:paraId="5F7AEE77" w14:textId="48A40543" w:rsidR="00957B19" w:rsidRPr="00CC33A6" w:rsidRDefault="00957B19" w:rsidP="004E1582">
      <w:pPr>
        <w:pStyle w:val="p1"/>
        <w:rPr>
          <w:sz w:val="22"/>
          <w:szCs w:val="22"/>
        </w:rPr>
      </w:pPr>
      <w:r w:rsidRPr="00CC33A6">
        <w:rPr>
          <w:sz w:val="22"/>
          <w:szCs w:val="22"/>
        </w:rPr>
        <w:t>Section 1893(f)(2)(A) of the Social Security Act (42 U.S.C. § 1395ddd(f)(2)(A) should be amended by striking “until the date of the decision on the reconsideration has been rendered” and inserting in its stead “until the date of the decision on appeal after an Administrative Law Judge hearing.”</w:t>
      </w:r>
    </w:p>
    <w:tbl>
      <w:tblPr>
        <w:tblW w:w="0" w:type="auto"/>
        <w:tblCellMar>
          <w:left w:w="0" w:type="dxa"/>
          <w:right w:w="0" w:type="dxa"/>
        </w:tblCellMar>
        <w:tblLook w:val="04A0" w:firstRow="1" w:lastRow="0" w:firstColumn="1" w:lastColumn="0" w:noHBand="0" w:noVBand="1"/>
      </w:tblPr>
      <w:tblGrid>
        <w:gridCol w:w="9510"/>
      </w:tblGrid>
      <w:tr w:rsidR="004E1582" w:rsidRPr="00CC33A6" w14:paraId="181CA04F" w14:textId="77777777" w:rsidTr="00D639CD">
        <w:trPr>
          <w:trHeight w:val="675"/>
        </w:trPr>
        <w:tc>
          <w:tcPr>
            <w:tcW w:w="0" w:type="auto"/>
            <w:tcMar>
              <w:top w:w="0" w:type="dxa"/>
              <w:left w:w="75" w:type="dxa"/>
              <w:bottom w:w="0" w:type="dxa"/>
              <w:right w:w="75" w:type="dxa"/>
            </w:tcMar>
            <w:hideMark/>
          </w:tcPr>
          <w:p w14:paraId="4B73D5F9" w14:textId="77777777" w:rsidR="00D639CD" w:rsidRPr="00CC33A6" w:rsidRDefault="00D639CD" w:rsidP="004E1582">
            <w:pPr>
              <w:rPr>
                <w:rFonts w:ascii="Times New Roman" w:hAnsi="Times New Roman" w:cs="Times New Roman"/>
              </w:rPr>
            </w:pPr>
          </w:p>
          <w:p w14:paraId="16783A52" w14:textId="02DF4C04" w:rsidR="004E1582" w:rsidRPr="00CC33A6" w:rsidRDefault="00D639CD" w:rsidP="004E1582">
            <w:pPr>
              <w:rPr>
                <w:rFonts w:ascii="Times New Roman" w:hAnsi="Times New Roman" w:cs="Times New Roman"/>
              </w:rPr>
            </w:pPr>
            <w:r w:rsidRPr="00CC33A6">
              <w:rPr>
                <w:rFonts w:ascii="Times New Roman" w:hAnsi="Times New Roman" w:cs="Times New Roman"/>
              </w:rPr>
              <w:t>CMS should revise its policy such that RACs would not receive a contingency payment until a physician receives an unfavorable ALJ ruling at the third round of the appeal process. </w:t>
            </w:r>
          </w:p>
          <w:p w14:paraId="39B2B6D3" w14:textId="77777777" w:rsidR="004E1582" w:rsidRPr="00CC33A6" w:rsidRDefault="004E1582" w:rsidP="00D639CD">
            <w:pPr>
              <w:rPr>
                <w:rFonts w:ascii="Times New Roman" w:hAnsi="Times New Roman" w:cs="Times New Roman"/>
              </w:rPr>
            </w:pPr>
          </w:p>
        </w:tc>
      </w:tr>
    </w:tbl>
    <w:p w14:paraId="1D3EC082" w14:textId="77777777" w:rsidR="00E178BE" w:rsidRDefault="00E178BE" w:rsidP="00B8577B">
      <w:pPr>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56"/>
        <w:gridCol w:w="156"/>
      </w:tblGrid>
      <w:tr w:rsidR="00D639CD" w:rsidRPr="00D639CD" w14:paraId="47E9BFE5" w14:textId="77777777" w:rsidTr="00D639CD">
        <w:tc>
          <w:tcPr>
            <w:tcW w:w="0" w:type="auto"/>
            <w:tcMar>
              <w:top w:w="0" w:type="dxa"/>
              <w:left w:w="75" w:type="dxa"/>
              <w:bottom w:w="0" w:type="dxa"/>
              <w:right w:w="75" w:type="dxa"/>
            </w:tcMar>
            <w:hideMark/>
          </w:tcPr>
          <w:p w14:paraId="2982E2D6" w14:textId="77777777" w:rsidR="00D639CD" w:rsidRPr="00D639CD" w:rsidRDefault="00D639CD" w:rsidP="00D639CD">
            <w:pPr>
              <w:rPr>
                <w:rFonts w:ascii="Times New Roman" w:hAnsi="Times New Roman" w:cs="Times New Roman"/>
                <w:sz w:val="18"/>
                <w:szCs w:val="18"/>
              </w:rPr>
            </w:pPr>
          </w:p>
          <w:p w14:paraId="798712BB" w14:textId="77777777" w:rsidR="00D639CD" w:rsidRPr="00D639CD" w:rsidRDefault="00D639CD" w:rsidP="00D639CD">
            <w:pPr>
              <w:rPr>
                <w:rFonts w:ascii="Times New Roman" w:hAnsi="Times New Roman" w:cs="Times New Roman"/>
                <w:sz w:val="17"/>
                <w:szCs w:val="17"/>
              </w:rPr>
            </w:pPr>
          </w:p>
        </w:tc>
        <w:tc>
          <w:tcPr>
            <w:tcW w:w="0" w:type="auto"/>
            <w:tcMar>
              <w:top w:w="0" w:type="dxa"/>
              <w:left w:w="75" w:type="dxa"/>
              <w:bottom w:w="0" w:type="dxa"/>
              <w:right w:w="75" w:type="dxa"/>
            </w:tcMar>
            <w:hideMark/>
          </w:tcPr>
          <w:p w14:paraId="4DE6977A" w14:textId="77777777" w:rsidR="00D639CD" w:rsidRPr="00D639CD" w:rsidRDefault="00D639CD" w:rsidP="00D639CD">
            <w:pPr>
              <w:rPr>
                <w:rFonts w:ascii="Times New Roman" w:hAnsi="Times New Roman" w:cs="Times New Roman"/>
                <w:sz w:val="18"/>
                <w:szCs w:val="18"/>
              </w:rPr>
            </w:pPr>
          </w:p>
          <w:p w14:paraId="224E13CA" w14:textId="5E0BB9AF" w:rsidR="00D639CD" w:rsidRPr="00D639CD" w:rsidRDefault="00D639CD" w:rsidP="00D639CD">
            <w:pPr>
              <w:rPr>
                <w:rFonts w:ascii="Times New Roman" w:hAnsi="Times New Roman" w:cs="Times New Roman"/>
                <w:sz w:val="17"/>
                <w:szCs w:val="17"/>
              </w:rPr>
            </w:pPr>
            <w:r w:rsidRPr="00D639CD">
              <w:rPr>
                <w:rFonts w:ascii="Times New Roman" w:hAnsi="Times New Roman" w:cs="Times New Roman"/>
                <w:sz w:val="17"/>
                <w:szCs w:val="17"/>
              </w:rPr>
              <w:t xml:space="preserve"> </w:t>
            </w:r>
          </w:p>
          <w:p w14:paraId="2859F883" w14:textId="77777777" w:rsidR="00D639CD" w:rsidRPr="00D639CD" w:rsidRDefault="00D639CD" w:rsidP="00D639CD">
            <w:pPr>
              <w:rPr>
                <w:rFonts w:ascii="Times New Roman" w:hAnsi="Times New Roman" w:cs="Times New Roman"/>
                <w:sz w:val="17"/>
                <w:szCs w:val="17"/>
              </w:rPr>
            </w:pPr>
          </w:p>
        </w:tc>
      </w:tr>
    </w:tbl>
    <w:p w14:paraId="0B6BEB7C" w14:textId="77777777" w:rsidR="00701B17" w:rsidRDefault="00701B17" w:rsidP="00B8577B">
      <w:pPr>
        <w:rPr>
          <w:rFonts w:ascii="Times New Roman" w:hAnsi="Times New Roman" w:cs="Times New Roman"/>
          <w:sz w:val="24"/>
          <w:szCs w:val="24"/>
        </w:rPr>
      </w:pPr>
    </w:p>
    <w:p w14:paraId="4635A6A0" w14:textId="77777777" w:rsidR="004E1582" w:rsidRDefault="004E1582" w:rsidP="00B8577B">
      <w:pPr>
        <w:rPr>
          <w:rFonts w:ascii="Times New Roman" w:hAnsi="Times New Roman" w:cs="Times New Roman"/>
          <w:sz w:val="24"/>
          <w:szCs w:val="24"/>
        </w:rPr>
      </w:pPr>
    </w:p>
    <w:p w14:paraId="134612E8" w14:textId="77777777" w:rsidR="004E1582" w:rsidRPr="00B8577B" w:rsidRDefault="004E1582" w:rsidP="00B8577B">
      <w:pPr>
        <w:rPr>
          <w:rFonts w:ascii="Times New Roman" w:hAnsi="Times New Roman" w:cs="Times New Roman"/>
          <w:sz w:val="24"/>
          <w:szCs w:val="24"/>
        </w:rPr>
      </w:pPr>
    </w:p>
    <w:sectPr w:rsidR="004E1582" w:rsidRPr="00B85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9AFB2" w14:textId="77777777" w:rsidR="00A33E6A" w:rsidRDefault="00A33E6A" w:rsidP="00754040">
      <w:r>
        <w:separator/>
      </w:r>
    </w:p>
  </w:endnote>
  <w:endnote w:type="continuationSeparator" w:id="0">
    <w:p w14:paraId="5DC55A84" w14:textId="77777777" w:rsidR="00A33E6A" w:rsidRDefault="00A33E6A" w:rsidP="0075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C4AEC" w14:textId="77777777" w:rsidR="00A33E6A" w:rsidRDefault="00A33E6A" w:rsidP="00754040">
      <w:r>
        <w:separator/>
      </w:r>
    </w:p>
  </w:footnote>
  <w:footnote w:type="continuationSeparator" w:id="0">
    <w:p w14:paraId="167F97EC" w14:textId="77777777" w:rsidR="00A33E6A" w:rsidRDefault="00A33E6A" w:rsidP="00754040">
      <w:r>
        <w:continuationSeparator/>
      </w:r>
    </w:p>
  </w:footnote>
  <w:footnote w:id="1">
    <w:p w14:paraId="70B3704E" w14:textId="7A08EDF4" w:rsidR="00754040" w:rsidRDefault="00754040">
      <w:pPr>
        <w:pStyle w:val="FootnoteText"/>
      </w:pPr>
      <w:r>
        <w:rPr>
          <w:rStyle w:val="FootnoteReference"/>
        </w:rPr>
        <w:footnoteRef/>
      </w:r>
      <w:r>
        <w:t xml:space="preserve"> PAI is separately recommending that the contingency fee payment system be eliminating as it perversely incents RACs to find overpayments when there are none.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369"/>
    <w:multiLevelType w:val="hybridMultilevel"/>
    <w:tmpl w:val="FCC26B5C"/>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9254C9"/>
    <w:multiLevelType w:val="hybridMultilevel"/>
    <w:tmpl w:val="B8868A3A"/>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7B"/>
    <w:rsid w:val="00014E42"/>
    <w:rsid w:val="000316C5"/>
    <w:rsid w:val="000519D0"/>
    <w:rsid w:val="0018371D"/>
    <w:rsid w:val="003757A2"/>
    <w:rsid w:val="00471A65"/>
    <w:rsid w:val="004B1A4F"/>
    <w:rsid w:val="004E1582"/>
    <w:rsid w:val="005A4BBD"/>
    <w:rsid w:val="0061187F"/>
    <w:rsid w:val="00625E64"/>
    <w:rsid w:val="00701B17"/>
    <w:rsid w:val="0072555A"/>
    <w:rsid w:val="00754040"/>
    <w:rsid w:val="00843A0C"/>
    <w:rsid w:val="008B0D54"/>
    <w:rsid w:val="00957B19"/>
    <w:rsid w:val="00A166F4"/>
    <w:rsid w:val="00A33E6A"/>
    <w:rsid w:val="00A4579B"/>
    <w:rsid w:val="00A463CB"/>
    <w:rsid w:val="00B8577B"/>
    <w:rsid w:val="00C47175"/>
    <w:rsid w:val="00CC33A6"/>
    <w:rsid w:val="00D02705"/>
    <w:rsid w:val="00D639CD"/>
    <w:rsid w:val="00DB7B56"/>
    <w:rsid w:val="00DF47EB"/>
    <w:rsid w:val="00DF4E5B"/>
    <w:rsid w:val="00E178BE"/>
    <w:rsid w:val="00EE3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9316"/>
  <w15:docId w15:val="{8426F08C-18B8-497A-B77C-6D2224FC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77B"/>
    <w:rPr>
      <w:color w:val="0000FF"/>
      <w:u w:val="single"/>
    </w:rPr>
  </w:style>
  <w:style w:type="paragraph" w:styleId="DocumentMap">
    <w:name w:val="Document Map"/>
    <w:basedOn w:val="Normal"/>
    <w:link w:val="DocumentMapChar"/>
    <w:uiPriority w:val="99"/>
    <w:semiHidden/>
    <w:unhideWhenUsed/>
    <w:rsid w:val="00A4579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4579B"/>
    <w:rPr>
      <w:rFonts w:ascii="Times New Roman" w:hAnsi="Times New Roman" w:cs="Times New Roman"/>
      <w:sz w:val="24"/>
      <w:szCs w:val="24"/>
    </w:rPr>
  </w:style>
  <w:style w:type="paragraph" w:customStyle="1" w:styleId="p1">
    <w:name w:val="p1"/>
    <w:basedOn w:val="Normal"/>
    <w:rsid w:val="00A4579B"/>
    <w:rPr>
      <w:rFonts w:ascii="Times New Roman" w:hAnsi="Times New Roman" w:cs="Times New Roman"/>
      <w:sz w:val="18"/>
      <w:szCs w:val="18"/>
    </w:rPr>
  </w:style>
  <w:style w:type="paragraph" w:customStyle="1" w:styleId="p2">
    <w:name w:val="p2"/>
    <w:basedOn w:val="Normal"/>
    <w:rsid w:val="00A4579B"/>
    <w:rPr>
      <w:rFonts w:ascii="Times New Roman" w:hAnsi="Times New Roman" w:cs="Times New Roman"/>
      <w:sz w:val="17"/>
      <w:szCs w:val="17"/>
    </w:rPr>
  </w:style>
  <w:style w:type="paragraph" w:customStyle="1" w:styleId="p3">
    <w:name w:val="p3"/>
    <w:basedOn w:val="Normal"/>
    <w:rsid w:val="00A4579B"/>
    <w:rPr>
      <w:rFonts w:ascii="Times New Roman" w:hAnsi="Times New Roman" w:cs="Times New Roman"/>
      <w:sz w:val="17"/>
      <w:szCs w:val="17"/>
    </w:rPr>
  </w:style>
  <w:style w:type="character" w:customStyle="1" w:styleId="apple-converted-space">
    <w:name w:val="apple-converted-space"/>
    <w:basedOn w:val="DefaultParagraphFont"/>
    <w:rsid w:val="00A4579B"/>
  </w:style>
  <w:style w:type="paragraph" w:styleId="ListParagraph">
    <w:name w:val="List Paragraph"/>
    <w:basedOn w:val="Normal"/>
    <w:uiPriority w:val="34"/>
    <w:qFormat/>
    <w:rsid w:val="00A4579B"/>
    <w:pPr>
      <w:ind w:left="720"/>
      <w:contextualSpacing/>
    </w:pPr>
  </w:style>
  <w:style w:type="character" w:customStyle="1" w:styleId="s1">
    <w:name w:val="s1"/>
    <w:basedOn w:val="DefaultParagraphFont"/>
    <w:rsid w:val="00D639CD"/>
    <w:rPr>
      <w:color w:val="0433FF"/>
    </w:rPr>
  </w:style>
  <w:style w:type="paragraph" w:styleId="BalloonText">
    <w:name w:val="Balloon Text"/>
    <w:basedOn w:val="Normal"/>
    <w:link w:val="BalloonTextChar"/>
    <w:uiPriority w:val="99"/>
    <w:semiHidden/>
    <w:unhideWhenUsed/>
    <w:rsid w:val="0018371D"/>
    <w:rPr>
      <w:rFonts w:ascii="Tahoma" w:hAnsi="Tahoma" w:cs="Tahoma"/>
      <w:sz w:val="16"/>
      <w:szCs w:val="16"/>
    </w:rPr>
  </w:style>
  <w:style w:type="character" w:customStyle="1" w:styleId="BalloonTextChar">
    <w:name w:val="Balloon Text Char"/>
    <w:basedOn w:val="DefaultParagraphFont"/>
    <w:link w:val="BalloonText"/>
    <w:uiPriority w:val="99"/>
    <w:semiHidden/>
    <w:rsid w:val="0018371D"/>
    <w:rPr>
      <w:rFonts w:ascii="Tahoma" w:hAnsi="Tahoma" w:cs="Tahoma"/>
      <w:sz w:val="16"/>
      <w:szCs w:val="16"/>
    </w:rPr>
  </w:style>
  <w:style w:type="character" w:styleId="CommentReference">
    <w:name w:val="annotation reference"/>
    <w:basedOn w:val="DefaultParagraphFont"/>
    <w:uiPriority w:val="99"/>
    <w:semiHidden/>
    <w:unhideWhenUsed/>
    <w:rsid w:val="0018371D"/>
    <w:rPr>
      <w:sz w:val="16"/>
      <w:szCs w:val="16"/>
    </w:rPr>
  </w:style>
  <w:style w:type="paragraph" w:styleId="CommentText">
    <w:name w:val="annotation text"/>
    <w:basedOn w:val="Normal"/>
    <w:link w:val="CommentTextChar"/>
    <w:uiPriority w:val="99"/>
    <w:semiHidden/>
    <w:unhideWhenUsed/>
    <w:rsid w:val="0018371D"/>
    <w:rPr>
      <w:sz w:val="20"/>
      <w:szCs w:val="20"/>
    </w:rPr>
  </w:style>
  <w:style w:type="character" w:customStyle="1" w:styleId="CommentTextChar">
    <w:name w:val="Comment Text Char"/>
    <w:basedOn w:val="DefaultParagraphFont"/>
    <w:link w:val="CommentText"/>
    <w:uiPriority w:val="99"/>
    <w:semiHidden/>
    <w:rsid w:val="0018371D"/>
    <w:rPr>
      <w:sz w:val="20"/>
      <w:szCs w:val="20"/>
    </w:rPr>
  </w:style>
  <w:style w:type="paragraph" w:styleId="CommentSubject">
    <w:name w:val="annotation subject"/>
    <w:basedOn w:val="CommentText"/>
    <w:next w:val="CommentText"/>
    <w:link w:val="CommentSubjectChar"/>
    <w:uiPriority w:val="99"/>
    <w:semiHidden/>
    <w:unhideWhenUsed/>
    <w:rsid w:val="0018371D"/>
    <w:rPr>
      <w:b/>
      <w:bCs/>
    </w:rPr>
  </w:style>
  <w:style w:type="character" w:customStyle="1" w:styleId="CommentSubjectChar">
    <w:name w:val="Comment Subject Char"/>
    <w:basedOn w:val="CommentTextChar"/>
    <w:link w:val="CommentSubject"/>
    <w:uiPriority w:val="99"/>
    <w:semiHidden/>
    <w:rsid w:val="0018371D"/>
    <w:rPr>
      <w:b/>
      <w:bCs/>
      <w:sz w:val="20"/>
      <w:szCs w:val="20"/>
    </w:rPr>
  </w:style>
  <w:style w:type="paragraph" w:styleId="FootnoteText">
    <w:name w:val="footnote text"/>
    <w:basedOn w:val="Normal"/>
    <w:link w:val="FootnoteTextChar"/>
    <w:uiPriority w:val="99"/>
    <w:semiHidden/>
    <w:unhideWhenUsed/>
    <w:rsid w:val="00754040"/>
    <w:rPr>
      <w:sz w:val="20"/>
      <w:szCs w:val="20"/>
    </w:rPr>
  </w:style>
  <w:style w:type="character" w:customStyle="1" w:styleId="FootnoteTextChar">
    <w:name w:val="Footnote Text Char"/>
    <w:basedOn w:val="DefaultParagraphFont"/>
    <w:link w:val="FootnoteText"/>
    <w:uiPriority w:val="99"/>
    <w:semiHidden/>
    <w:rsid w:val="00754040"/>
    <w:rPr>
      <w:sz w:val="20"/>
      <w:szCs w:val="20"/>
    </w:rPr>
  </w:style>
  <w:style w:type="character" w:styleId="FootnoteReference">
    <w:name w:val="footnote reference"/>
    <w:basedOn w:val="DefaultParagraphFont"/>
    <w:uiPriority w:val="99"/>
    <w:semiHidden/>
    <w:unhideWhenUsed/>
    <w:rsid w:val="00754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4688">
      <w:bodyDiv w:val="1"/>
      <w:marLeft w:val="0"/>
      <w:marRight w:val="0"/>
      <w:marTop w:val="0"/>
      <w:marBottom w:val="0"/>
      <w:divBdr>
        <w:top w:val="none" w:sz="0" w:space="0" w:color="auto"/>
        <w:left w:val="none" w:sz="0" w:space="0" w:color="auto"/>
        <w:bottom w:val="none" w:sz="0" w:space="0" w:color="auto"/>
        <w:right w:val="none" w:sz="0" w:space="0" w:color="auto"/>
      </w:divBdr>
    </w:div>
    <w:div w:id="617033168">
      <w:bodyDiv w:val="1"/>
      <w:marLeft w:val="0"/>
      <w:marRight w:val="0"/>
      <w:marTop w:val="0"/>
      <w:marBottom w:val="0"/>
      <w:divBdr>
        <w:top w:val="none" w:sz="0" w:space="0" w:color="auto"/>
        <w:left w:val="none" w:sz="0" w:space="0" w:color="auto"/>
        <w:bottom w:val="none" w:sz="0" w:space="0" w:color="auto"/>
        <w:right w:val="none" w:sz="0" w:space="0" w:color="auto"/>
      </w:divBdr>
    </w:div>
    <w:div w:id="857542109">
      <w:bodyDiv w:val="1"/>
      <w:marLeft w:val="0"/>
      <w:marRight w:val="0"/>
      <w:marTop w:val="0"/>
      <w:marBottom w:val="0"/>
      <w:divBdr>
        <w:top w:val="none" w:sz="0" w:space="0" w:color="auto"/>
        <w:left w:val="none" w:sz="0" w:space="0" w:color="auto"/>
        <w:bottom w:val="none" w:sz="0" w:space="0" w:color="auto"/>
        <w:right w:val="none" w:sz="0" w:space="0" w:color="auto"/>
      </w:divBdr>
    </w:div>
    <w:div w:id="1271930766">
      <w:bodyDiv w:val="1"/>
      <w:marLeft w:val="0"/>
      <w:marRight w:val="0"/>
      <w:marTop w:val="0"/>
      <w:marBottom w:val="0"/>
      <w:divBdr>
        <w:top w:val="none" w:sz="0" w:space="0" w:color="auto"/>
        <w:left w:val="none" w:sz="0" w:space="0" w:color="auto"/>
        <w:bottom w:val="none" w:sz="0" w:space="0" w:color="auto"/>
        <w:right w:val="none" w:sz="0" w:space="0" w:color="auto"/>
      </w:divBdr>
    </w:div>
    <w:div w:id="19255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C3C4F-2CF9-4A99-8D73-B5ECAA68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Abramson</dc:creator>
  <cp:lastModifiedBy>Elaine Ellis</cp:lastModifiedBy>
  <cp:revision>2</cp:revision>
  <dcterms:created xsi:type="dcterms:W3CDTF">2017-09-05T14:09:00Z</dcterms:created>
  <dcterms:modified xsi:type="dcterms:W3CDTF">2017-09-05T14:09:00Z</dcterms:modified>
</cp:coreProperties>
</file>