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7B" w:rsidRPr="00C961EE" w:rsidRDefault="00AE0377" w:rsidP="00373E7B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bookmarkStart w:id="0" w:name="_GoBack"/>
      <w:bookmarkEnd w:id="0"/>
      <w:r>
        <w:rPr>
          <w:rFonts w:ascii="Arial" w:eastAsiaTheme="minorEastAsia" w:hAnsi="Arial" w:cs="Arial"/>
          <w:b/>
          <w:i/>
          <w:color w:val="000000" w:themeColor="text1"/>
          <w:kern w:val="24"/>
          <w:sz w:val="22"/>
          <w:szCs w:val="22"/>
        </w:rPr>
        <w:t>Helpful Tips on D</w:t>
      </w:r>
      <w:r w:rsidR="00373E7B" w:rsidRPr="005B75F3">
        <w:rPr>
          <w:rFonts w:ascii="Arial" w:eastAsiaTheme="minorEastAsia" w:hAnsi="Arial" w:cs="Arial"/>
          <w:b/>
          <w:i/>
          <w:color w:val="000000" w:themeColor="text1"/>
          <w:kern w:val="24"/>
          <w:sz w:val="22"/>
          <w:szCs w:val="22"/>
        </w:rPr>
        <w:t xml:space="preserve">iagnosing </w:t>
      </w:r>
      <w:r>
        <w:rPr>
          <w:rFonts w:ascii="Arial" w:eastAsiaTheme="minorEastAsia" w:hAnsi="Arial" w:cs="Arial"/>
          <w:b/>
          <w:i/>
          <w:color w:val="000000" w:themeColor="text1"/>
          <w:kern w:val="24"/>
          <w:sz w:val="22"/>
          <w:szCs w:val="22"/>
        </w:rPr>
        <w:t>Acute Pesticide P</w:t>
      </w:r>
      <w:r w:rsidR="005A2ABC">
        <w:rPr>
          <w:rFonts w:ascii="Arial" w:eastAsiaTheme="minorEastAsia" w:hAnsi="Arial" w:cs="Arial"/>
          <w:b/>
          <w:i/>
          <w:color w:val="000000" w:themeColor="text1"/>
          <w:kern w:val="24"/>
          <w:sz w:val="22"/>
          <w:szCs w:val="22"/>
        </w:rPr>
        <w:t>oisoning</w:t>
      </w:r>
      <w:r w:rsidR="00C961EE">
        <w:rPr>
          <w:rFonts w:ascii="Arial" w:eastAsiaTheme="minorEastAsia" w:hAnsi="Arial" w:cs="Arial"/>
          <w:b/>
          <w:i/>
          <w:color w:val="000000" w:themeColor="text1"/>
          <w:kern w:val="24"/>
          <w:sz w:val="22"/>
          <w:szCs w:val="22"/>
        </w:rPr>
        <w:t xml:space="preserve">   </w:t>
      </w:r>
      <w:r w:rsidR="00C961EE">
        <w:rPr>
          <w:rFonts w:ascii="Arial" w:hAnsi="Arial" w:cs="Arial"/>
          <w:noProof/>
        </w:rPr>
        <w:t xml:space="preserve">         </w:t>
      </w:r>
      <w:r w:rsidR="00C961EE">
        <w:rPr>
          <w:rFonts w:ascii="Arial" w:hAnsi="Arial" w:cs="Arial"/>
          <w:noProof/>
        </w:rPr>
        <w:drawing>
          <wp:inline distT="0" distB="0" distL="0" distR="0" wp14:anchorId="16AEB87F" wp14:editId="47E8A9B7">
            <wp:extent cx="708660" cy="64741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H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36" cy="64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1EE">
        <w:rPr>
          <w:noProof/>
          <w:color w:val="0000FF"/>
        </w:rPr>
        <w:t xml:space="preserve">     </w:t>
      </w:r>
      <w:r w:rsidR="00C961EE">
        <w:rPr>
          <w:noProof/>
          <w:color w:val="0000FF"/>
        </w:rPr>
        <w:drawing>
          <wp:inline distT="0" distB="0" distL="0" distR="0" wp14:anchorId="4AF37024" wp14:editId="78220099">
            <wp:extent cx="708660" cy="662940"/>
            <wp:effectExtent l="0" t="0" r="0" b="3810"/>
            <wp:docPr id="2" name="irc_mi" descr="https://slphreporting.ncpublichealth.com/lims/ClinicalLims/images/ncph_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lphreporting.ncpublichealth.com/lims/ClinicalLims/images/ncph_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93" cy="66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5F3" w:rsidRPr="005B75F3" w:rsidRDefault="005B75F3" w:rsidP="00373E7B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="Arial" w:eastAsiaTheme="minorEastAsia" w:hAnsi="Arial" w:cs="Arial"/>
          <w:b/>
          <w:i/>
          <w:color w:val="000000" w:themeColor="text1"/>
          <w:kern w:val="24"/>
          <w:sz w:val="22"/>
          <w:szCs w:val="22"/>
        </w:rPr>
      </w:pPr>
    </w:p>
    <w:p w:rsidR="005B75F3" w:rsidRPr="005B75F3" w:rsidRDefault="00373E7B" w:rsidP="005B75F3">
      <w:pPr>
        <w:pStyle w:val="NoSpacing"/>
        <w:rPr>
          <w:rFonts w:ascii="Arial" w:hAnsi="Arial" w:cs="Arial"/>
        </w:rPr>
      </w:pPr>
      <w:r w:rsidRPr="005B75F3">
        <w:rPr>
          <w:rFonts w:ascii="Arial" w:hAnsi="Arial" w:cs="Arial"/>
        </w:rPr>
        <w:t>The N</w:t>
      </w:r>
      <w:r w:rsidR="00AE0377">
        <w:rPr>
          <w:rFonts w:ascii="Arial" w:hAnsi="Arial" w:cs="Arial"/>
        </w:rPr>
        <w:t>orth Carolina</w:t>
      </w:r>
      <w:r w:rsidRPr="005B75F3">
        <w:rPr>
          <w:rFonts w:ascii="Arial" w:hAnsi="Arial" w:cs="Arial"/>
        </w:rPr>
        <w:t xml:space="preserve"> Pesticide Incident Surveillance</w:t>
      </w:r>
      <w:r w:rsidR="00AE0377">
        <w:rPr>
          <w:rFonts w:ascii="Arial" w:hAnsi="Arial" w:cs="Arial"/>
        </w:rPr>
        <w:t xml:space="preserve"> Program</w:t>
      </w:r>
      <w:r w:rsidRPr="005B75F3">
        <w:rPr>
          <w:rFonts w:ascii="Arial" w:hAnsi="Arial" w:cs="Arial"/>
        </w:rPr>
        <w:t xml:space="preserve">, </w:t>
      </w:r>
      <w:r w:rsidR="00187FFA">
        <w:rPr>
          <w:rFonts w:ascii="Arial" w:hAnsi="Arial" w:cs="Arial"/>
        </w:rPr>
        <w:t xml:space="preserve">a program within the </w:t>
      </w:r>
      <w:r w:rsidRPr="005B75F3">
        <w:rPr>
          <w:rFonts w:ascii="Arial" w:hAnsi="Arial" w:cs="Arial"/>
        </w:rPr>
        <w:t>NC Division of Public Health</w:t>
      </w:r>
      <w:r w:rsidR="00AE0377">
        <w:rPr>
          <w:rFonts w:ascii="Arial" w:hAnsi="Arial" w:cs="Arial"/>
        </w:rPr>
        <w:t>,</w:t>
      </w:r>
      <w:r w:rsidRPr="005B75F3">
        <w:rPr>
          <w:rFonts w:ascii="Arial" w:hAnsi="Arial" w:cs="Arial"/>
        </w:rPr>
        <w:t xml:space="preserve"> monitors the frequency of acute pesticide poison</w:t>
      </w:r>
      <w:r w:rsidR="00AE0377">
        <w:rPr>
          <w:rFonts w:ascii="Arial" w:hAnsi="Arial" w:cs="Arial"/>
        </w:rPr>
        <w:t xml:space="preserve">ings in the state and requires </w:t>
      </w:r>
      <w:r w:rsidRPr="005B75F3">
        <w:rPr>
          <w:rFonts w:ascii="Arial" w:hAnsi="Arial" w:cs="Arial"/>
        </w:rPr>
        <w:t xml:space="preserve">health providers to report confirmed or suspicious cases to them.  </w:t>
      </w:r>
      <w:r w:rsidR="00187FFA">
        <w:rPr>
          <w:rFonts w:ascii="Arial" w:hAnsi="Arial" w:cs="Arial"/>
        </w:rPr>
        <w:t xml:space="preserve"> </w:t>
      </w:r>
      <w:r w:rsidR="00217B33" w:rsidRPr="005B75F3">
        <w:rPr>
          <w:rFonts w:ascii="Arial" w:hAnsi="Arial" w:cs="Arial"/>
        </w:rPr>
        <w:t>Like many illnesses linked to environme</w:t>
      </w:r>
      <w:r w:rsidR="00AE0377">
        <w:rPr>
          <w:rFonts w:ascii="Arial" w:hAnsi="Arial" w:cs="Arial"/>
        </w:rPr>
        <w:t xml:space="preserve">ntal exposures, however, </w:t>
      </w:r>
      <w:r w:rsidR="00217B33" w:rsidRPr="005B75F3">
        <w:rPr>
          <w:rFonts w:ascii="Arial" w:hAnsi="Arial" w:cs="Arial"/>
        </w:rPr>
        <w:t>pesticid</w:t>
      </w:r>
      <w:r w:rsidR="00187FFA">
        <w:rPr>
          <w:rFonts w:ascii="Arial" w:hAnsi="Arial" w:cs="Arial"/>
        </w:rPr>
        <w:t xml:space="preserve">e poisonings are commonly under </w:t>
      </w:r>
      <w:r w:rsidR="00217B33" w:rsidRPr="005B75F3">
        <w:rPr>
          <w:rFonts w:ascii="Arial" w:hAnsi="Arial" w:cs="Arial"/>
        </w:rPr>
        <w:t xml:space="preserve">diagnosed due in large part to barriers in seeking care and </w:t>
      </w:r>
      <w:r w:rsidR="00B4665D" w:rsidRPr="00B4665D">
        <w:rPr>
          <w:rFonts w:ascii="Arial" w:hAnsi="Arial" w:cs="Arial"/>
        </w:rPr>
        <w:t>lack of recognition</w:t>
      </w:r>
      <w:r w:rsidR="00187FFA" w:rsidRPr="00B4665D">
        <w:rPr>
          <w:rFonts w:ascii="Arial" w:hAnsi="Arial" w:cs="Arial"/>
        </w:rPr>
        <w:t>.</w:t>
      </w:r>
    </w:p>
    <w:p w:rsidR="005B75F3" w:rsidRPr="005B75F3" w:rsidRDefault="005B75F3" w:rsidP="005B75F3">
      <w:pPr>
        <w:pStyle w:val="NoSpacing"/>
        <w:rPr>
          <w:rFonts w:ascii="Arial" w:hAnsi="Arial" w:cs="Arial"/>
        </w:rPr>
      </w:pPr>
    </w:p>
    <w:p w:rsidR="00373E7B" w:rsidRPr="005B75F3" w:rsidRDefault="00373E7B" w:rsidP="005B75F3">
      <w:pPr>
        <w:pStyle w:val="NoSpacing"/>
        <w:rPr>
          <w:rFonts w:ascii="Arial" w:hAnsi="Arial" w:cs="Arial"/>
        </w:rPr>
      </w:pPr>
      <w:r w:rsidRPr="005B75F3">
        <w:rPr>
          <w:rFonts w:ascii="Arial" w:hAnsi="Arial" w:cs="Arial"/>
        </w:rPr>
        <w:t xml:space="preserve">So how do you properly diagnose and treat a pesticide poisoning?  </w:t>
      </w:r>
      <w:r w:rsidR="009461B6">
        <w:rPr>
          <w:rFonts w:ascii="Arial" w:hAnsi="Arial" w:cs="Arial"/>
        </w:rPr>
        <w:t xml:space="preserve"> </w:t>
      </w:r>
      <w:r w:rsidRPr="005B75F3">
        <w:rPr>
          <w:rFonts w:ascii="Arial" w:hAnsi="Arial" w:cs="Arial"/>
          <w:b/>
          <w:i/>
        </w:rPr>
        <w:t>Taking an occupational and environmental history</w:t>
      </w:r>
      <w:r w:rsidR="009461B6">
        <w:rPr>
          <w:rFonts w:ascii="Arial" w:hAnsi="Arial" w:cs="Arial"/>
        </w:rPr>
        <w:t xml:space="preserve"> is the first step.  I</w:t>
      </w:r>
      <w:r w:rsidRPr="005B75F3">
        <w:rPr>
          <w:rFonts w:ascii="Arial" w:hAnsi="Arial" w:cs="Arial"/>
        </w:rPr>
        <w:t xml:space="preserve">t is not only extremely important for diagnostic and therapeutic reasons, but </w:t>
      </w:r>
      <w:r w:rsidR="009461B6">
        <w:rPr>
          <w:rFonts w:ascii="Arial" w:hAnsi="Arial" w:cs="Arial"/>
        </w:rPr>
        <w:t>for workplace corrective action</w:t>
      </w:r>
      <w:r w:rsidRPr="005B75F3">
        <w:rPr>
          <w:rFonts w:ascii="Arial" w:hAnsi="Arial" w:cs="Arial"/>
        </w:rPr>
        <w:t xml:space="preserve"> an</w:t>
      </w:r>
      <w:r w:rsidR="009461B6">
        <w:rPr>
          <w:rFonts w:ascii="Arial" w:hAnsi="Arial" w:cs="Arial"/>
        </w:rPr>
        <w:t>d prevention counseling.</w:t>
      </w:r>
      <w:r w:rsidRPr="005B75F3">
        <w:rPr>
          <w:rFonts w:ascii="Arial" w:hAnsi="Arial" w:cs="Arial"/>
        </w:rPr>
        <w:t xml:space="preserve"> </w:t>
      </w:r>
    </w:p>
    <w:p w:rsidR="00217B33" w:rsidRPr="005B75F3" w:rsidRDefault="00373E7B" w:rsidP="00373E7B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5B75F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 thorough occupational and environmental history</w:t>
      </w:r>
      <w:r w:rsidR="007E298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can result in these benefits:</w:t>
      </w:r>
    </w:p>
    <w:p w:rsidR="00373E7B" w:rsidRPr="005B75F3" w:rsidRDefault="00A622FF" w:rsidP="00217B33">
      <w:pPr>
        <w:pStyle w:val="NormalWeb"/>
        <w:numPr>
          <w:ilvl w:val="0"/>
          <w:numId w:val="3"/>
        </w:numPr>
        <w:kinsoku w:val="0"/>
        <w:overflowPunct w:val="0"/>
        <w:spacing w:before="86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An accurate diagnosis increases </w:t>
      </w:r>
      <w:r w:rsidR="00373E7B" w:rsidRPr="005B75F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the possibility that pesticide poisonings and other environmental exposure</w:t>
      </w:r>
      <w:r w:rsidR="005B75F3" w:rsidRPr="005B75F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</w:t>
      </w:r>
      <w:r w:rsidR="00217B33" w:rsidRPr="005B75F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="007E298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are recognized,</w:t>
      </w:r>
    </w:p>
    <w:p w:rsidR="00373E7B" w:rsidRPr="005B75F3" w:rsidRDefault="00A622FF" w:rsidP="00217B33">
      <w:pPr>
        <w:pStyle w:val="NormalWeb"/>
        <w:numPr>
          <w:ilvl w:val="0"/>
          <w:numId w:val="3"/>
        </w:numPr>
        <w:kinsoku w:val="0"/>
        <w:overflowPunct w:val="0"/>
        <w:spacing w:before="86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An accurate diagnosis leads</w:t>
      </w:r>
      <w:r w:rsidR="00217B33" w:rsidRPr="005B75F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to appropriate care</w:t>
      </w:r>
      <w:r w:rsidR="00CC418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, </w:t>
      </w:r>
    </w:p>
    <w:p w:rsidR="00373E7B" w:rsidRPr="005B75F3" w:rsidRDefault="00217B33" w:rsidP="00217B33">
      <w:pPr>
        <w:pStyle w:val="NormalWeb"/>
        <w:numPr>
          <w:ilvl w:val="0"/>
          <w:numId w:val="3"/>
        </w:numPr>
        <w:kinsoku w:val="0"/>
        <w:overflowPunct w:val="0"/>
        <w:spacing w:before="86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B75F3">
        <w:rPr>
          <w:rFonts w:ascii="Arial" w:hAnsi="Arial" w:cs="Arial"/>
          <w:sz w:val="22"/>
          <w:szCs w:val="22"/>
        </w:rPr>
        <w:t>An accurate diagnosis helps</w:t>
      </w:r>
      <w:r w:rsidR="00CC4185">
        <w:rPr>
          <w:rFonts w:ascii="Arial" w:hAnsi="Arial" w:cs="Arial"/>
          <w:sz w:val="22"/>
          <w:szCs w:val="22"/>
        </w:rPr>
        <w:t xml:space="preserve"> in identifying the source of exposure.  This information </w:t>
      </w:r>
      <w:r w:rsidRPr="005B75F3">
        <w:rPr>
          <w:rFonts w:ascii="Arial" w:hAnsi="Arial" w:cs="Arial"/>
          <w:sz w:val="22"/>
          <w:szCs w:val="22"/>
        </w:rPr>
        <w:t>provides the basis for e</w:t>
      </w:r>
      <w:r w:rsidR="00CC418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ducation about</w:t>
      </w:r>
      <w:r w:rsidR="00373E7B" w:rsidRPr="005B75F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avoid</w:t>
      </w:r>
      <w:r w:rsidR="00CC418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ing</w:t>
      </w:r>
      <w:r w:rsidR="00373E7B" w:rsidRPr="005B75F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future overexposures</w:t>
      </w:r>
      <w:r w:rsidRPr="005B75F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and c</w:t>
      </w:r>
      <w:r w:rsidR="00373E7B" w:rsidRPr="005B75F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orrec</w:t>
      </w:r>
      <w:r w:rsidR="00CC418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ting</w:t>
      </w:r>
      <w:r w:rsidR="00373E7B" w:rsidRPr="005B75F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workplace health and safety failures</w:t>
      </w:r>
      <w:r w:rsidR="007E2989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:rsidR="00373E7B" w:rsidRPr="005B75F3" w:rsidRDefault="00373E7B" w:rsidP="00AE0377">
      <w:pPr>
        <w:pStyle w:val="NormalWeb"/>
        <w:spacing w:before="115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B75F3">
        <w:rPr>
          <w:rFonts w:ascii="Arial" w:eastAsiaTheme="minorEastAsia" w:hAnsi="Arial" w:cs="Arial"/>
          <w:b/>
          <w:bCs/>
          <w:i/>
          <w:iCs/>
          <w:color w:val="000000" w:themeColor="text1"/>
          <w:sz w:val="22"/>
          <w:szCs w:val="22"/>
        </w:rPr>
        <w:t>Suggested screening questions for adult patients (EPA</w:t>
      </w:r>
      <w:r w:rsidR="007E2989">
        <w:rPr>
          <w:rFonts w:ascii="Arial" w:eastAsiaTheme="minorEastAsia" w:hAnsi="Arial" w:cs="Arial"/>
          <w:b/>
          <w:bCs/>
          <w:i/>
          <w:iCs/>
          <w:color w:val="000000" w:themeColor="text1"/>
          <w:sz w:val="22"/>
          <w:szCs w:val="22"/>
        </w:rPr>
        <w:t>*</w:t>
      </w:r>
      <w:r w:rsidRPr="005B75F3">
        <w:rPr>
          <w:rFonts w:ascii="Arial" w:eastAsiaTheme="minorEastAsia" w:hAnsi="Arial" w:cs="Arial"/>
          <w:b/>
          <w:bCs/>
          <w:i/>
          <w:iCs/>
          <w:color w:val="000000" w:themeColor="text1"/>
          <w:sz w:val="22"/>
          <w:szCs w:val="22"/>
        </w:rPr>
        <w:t>):</w:t>
      </w:r>
    </w:p>
    <w:p w:rsidR="00373E7B" w:rsidRPr="005B75F3" w:rsidRDefault="00373E7B" w:rsidP="00373E7B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5B75F3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What </w:t>
      </w:r>
      <w:r w:rsidRPr="005B75F3">
        <w:rPr>
          <w:rFonts w:ascii="Arial" w:eastAsiaTheme="minorEastAsia" w:hAnsi="Arial" w:cs="Arial"/>
          <w:b/>
          <w:bCs/>
          <w:color w:val="FF0000"/>
          <w:sz w:val="22"/>
          <w:szCs w:val="22"/>
        </w:rPr>
        <w:t>kind of work</w:t>
      </w:r>
      <w:r w:rsidRPr="005B75F3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do you do?</w:t>
      </w:r>
    </w:p>
    <w:p w:rsidR="00373E7B" w:rsidRPr="005B75F3" w:rsidRDefault="00373E7B" w:rsidP="00373E7B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5B75F3">
        <w:rPr>
          <w:rFonts w:ascii="Arial" w:eastAsiaTheme="minorEastAsia" w:hAnsi="Arial" w:cs="Arial"/>
          <w:color w:val="000000" w:themeColor="text1"/>
          <w:sz w:val="22"/>
          <w:szCs w:val="22"/>
        </w:rPr>
        <w:t>Are your health problems related to your home or other location? (if unemployed)</w:t>
      </w:r>
    </w:p>
    <w:p w:rsidR="00373E7B" w:rsidRPr="005B75F3" w:rsidRDefault="00373E7B" w:rsidP="00373E7B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5B75F3">
        <w:rPr>
          <w:rFonts w:ascii="Arial" w:eastAsiaTheme="minorEastAsia" w:hAnsi="Arial" w:cs="Arial"/>
          <w:color w:val="000000" w:themeColor="text1"/>
          <w:sz w:val="22"/>
          <w:szCs w:val="22"/>
        </w:rPr>
        <w:t>Are your health problems related to your work? (if employed)</w:t>
      </w:r>
    </w:p>
    <w:p w:rsidR="00373E7B" w:rsidRPr="005B75F3" w:rsidRDefault="00373E7B" w:rsidP="00373E7B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5B75F3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Are your symptoms better or worse when you are at home or at work? </w:t>
      </w:r>
    </w:p>
    <w:p w:rsidR="00721D10" w:rsidRPr="00721D10" w:rsidRDefault="00373E7B" w:rsidP="00721D10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5B75F3">
        <w:rPr>
          <w:rFonts w:ascii="Arial" w:eastAsiaTheme="minorEastAsia" w:hAnsi="Arial" w:cs="Arial"/>
          <w:color w:val="000000" w:themeColor="text1"/>
          <w:sz w:val="22"/>
          <w:szCs w:val="22"/>
        </w:rPr>
        <w:t>Are you now</w:t>
      </w:r>
      <w:r w:rsidR="003E3C16">
        <w:rPr>
          <w:rFonts w:ascii="Arial" w:eastAsiaTheme="minorEastAsia" w:hAnsi="Arial" w:cs="Arial"/>
          <w:color w:val="000000" w:themeColor="text1"/>
          <w:sz w:val="22"/>
          <w:szCs w:val="22"/>
        </w:rPr>
        <w:t>,</w:t>
      </w:r>
      <w:r w:rsidRPr="005B75F3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or have you previously</w:t>
      </w:r>
      <w:r w:rsidR="003E3C16">
        <w:rPr>
          <w:rFonts w:ascii="Arial" w:eastAsiaTheme="minorEastAsia" w:hAnsi="Arial" w:cs="Arial"/>
          <w:color w:val="000000" w:themeColor="text1"/>
          <w:sz w:val="22"/>
          <w:szCs w:val="22"/>
        </w:rPr>
        <w:t>,</w:t>
      </w:r>
      <w:r w:rsidRPr="005B75F3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been exposed to pesticides, solvents, or other che</w:t>
      </w:r>
      <w:r w:rsidR="003E3C16">
        <w:rPr>
          <w:rFonts w:ascii="Arial" w:eastAsiaTheme="minorEastAsia" w:hAnsi="Arial" w:cs="Arial"/>
          <w:color w:val="000000" w:themeColor="text1"/>
          <w:sz w:val="22"/>
          <w:szCs w:val="22"/>
        </w:rPr>
        <w:t>micals, dusts, fumes, radiation</w:t>
      </w:r>
      <w:r w:rsidRPr="005B75F3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or loud noise? </w:t>
      </w:r>
    </w:p>
    <w:p w:rsidR="00721D10" w:rsidRPr="00C961EE" w:rsidRDefault="00721D10" w:rsidP="007178E8">
      <w:pPr>
        <w:pStyle w:val="ListParagraph"/>
        <w:textAlignment w:val="baseline"/>
        <w:rPr>
          <w:rFonts w:ascii="Arial" w:hAnsi="Arial" w:cs="Arial"/>
          <w:b/>
          <w:i/>
        </w:rPr>
      </w:pPr>
    </w:p>
    <w:p w:rsidR="007178E8" w:rsidRPr="007178E8" w:rsidRDefault="007178E8" w:rsidP="007178E8">
      <w:pPr>
        <w:textAlignment w:val="baseline"/>
        <w:rPr>
          <w:rFonts w:ascii="Arial" w:hAnsi="Arial" w:cs="Arial"/>
        </w:rPr>
      </w:pPr>
      <w:r w:rsidRPr="00C961EE">
        <w:rPr>
          <w:rFonts w:ascii="Arial" w:hAnsi="Arial" w:cs="Arial"/>
          <w:b/>
          <w:i/>
        </w:rPr>
        <w:t>Want more information of diagnosing pesticide poisonings?</w:t>
      </w:r>
      <w:r w:rsidRPr="005B75F3">
        <w:rPr>
          <w:rFonts w:ascii="Arial" w:hAnsi="Arial" w:cs="Arial"/>
          <w:b/>
        </w:rPr>
        <w:t xml:space="preserve">  </w:t>
      </w:r>
      <w:r w:rsidR="003E3C16">
        <w:rPr>
          <w:rFonts w:ascii="Arial" w:hAnsi="Arial" w:cs="Arial"/>
          <w:b/>
        </w:rPr>
        <w:t xml:space="preserve"> </w:t>
      </w:r>
      <w:r w:rsidRPr="005B75F3">
        <w:rPr>
          <w:rFonts w:ascii="Arial" w:hAnsi="Arial" w:cs="Arial"/>
        </w:rPr>
        <w:t xml:space="preserve">See </w:t>
      </w:r>
      <w:r w:rsidRPr="00AE0377">
        <w:rPr>
          <w:rFonts w:ascii="Arial" w:hAnsi="Arial" w:cs="Arial"/>
          <w:i/>
        </w:rPr>
        <w:t>EPA 6th Edition Recognition and Management of Pesticide Poisonings</w:t>
      </w:r>
      <w:r w:rsidRPr="005B75F3">
        <w:rPr>
          <w:rFonts w:ascii="Arial" w:hAnsi="Arial" w:cs="Arial"/>
        </w:rPr>
        <w:t xml:space="preserve"> @ </w:t>
      </w:r>
      <w:r w:rsidRPr="005B75F3">
        <w:rPr>
          <w:rFonts w:ascii="Arial" w:hAnsi="Arial" w:cs="Arial"/>
          <w:u w:val="single"/>
        </w:rPr>
        <w:t xml:space="preserve">http://www2.epa .gov/pesticide-worker-safety/recognition-and-management-pesticide-poisonings    </w:t>
      </w:r>
    </w:p>
    <w:p w:rsidR="007178E8" w:rsidRDefault="00721D10" w:rsidP="005B75F3">
      <w:pPr>
        <w:textAlignment w:val="baseline"/>
        <w:rPr>
          <w:rFonts w:ascii="Arial" w:hAnsi="Arial" w:cs="Arial"/>
          <w:noProof/>
          <w:color w:val="336699"/>
        </w:rPr>
      </w:pPr>
      <w:r>
        <w:rPr>
          <w:rFonts w:ascii="Arial" w:hAnsi="Arial" w:cs="Arial"/>
          <w:noProof/>
          <w:color w:val="336699"/>
        </w:rPr>
        <w:t xml:space="preserve">   </w:t>
      </w:r>
      <w:r w:rsidR="007178E8">
        <w:rPr>
          <w:rFonts w:ascii="Arial" w:hAnsi="Arial" w:cs="Arial"/>
          <w:noProof/>
          <w:color w:val="336699"/>
        </w:rPr>
        <w:t xml:space="preserve">                           </w:t>
      </w:r>
      <w:r>
        <w:rPr>
          <w:rFonts w:ascii="Arial" w:hAnsi="Arial" w:cs="Arial"/>
          <w:noProof/>
          <w:color w:val="336699"/>
        </w:rPr>
        <w:t xml:space="preserve">                           </w:t>
      </w:r>
      <w:r w:rsidRPr="00721D10">
        <w:rPr>
          <w:rFonts w:ascii="Arial" w:hAnsi="Arial" w:cs="Arial"/>
          <w:noProof/>
          <w:color w:val="336699"/>
        </w:rPr>
        <w:drawing>
          <wp:inline distT="0" distB="0" distL="0" distR="0" wp14:anchorId="2AB80BF7" wp14:editId="71AFBD66">
            <wp:extent cx="1379220" cy="1590675"/>
            <wp:effectExtent l="0" t="0" r="0" b="9525"/>
            <wp:docPr id="3" name="Picture 3" descr="Graphic for Recognition and Management of Pesticide Poisonings Docu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for Recognition and Management of Pesticide Poisonings Docum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5F3" w:rsidRPr="007178E8" w:rsidRDefault="00C961EE" w:rsidP="005B75F3">
      <w:pPr>
        <w:textAlignment w:val="baseline"/>
        <w:rPr>
          <w:rFonts w:ascii="Arial" w:hAnsi="Arial" w:cs="Arial"/>
          <w:noProof/>
          <w:color w:val="336699"/>
        </w:rPr>
      </w:pPr>
      <w:r>
        <w:rPr>
          <w:rFonts w:ascii="Arial" w:hAnsi="Arial" w:cs="Arial"/>
          <w:b/>
          <w:i/>
        </w:rPr>
        <w:t xml:space="preserve">                 </w:t>
      </w:r>
      <w:r w:rsidR="005B75F3" w:rsidRPr="00C961EE">
        <w:rPr>
          <w:rFonts w:ascii="Arial" w:hAnsi="Arial" w:cs="Arial"/>
          <w:b/>
          <w:i/>
        </w:rPr>
        <w:t>Want to report?</w:t>
      </w:r>
      <w:r w:rsidR="005B75F3" w:rsidRPr="005B75F3">
        <w:rPr>
          <w:rFonts w:ascii="Arial" w:hAnsi="Arial" w:cs="Arial"/>
        </w:rPr>
        <w:t xml:space="preserve">  Call Carolinas Poison Center at 1-800-222-1222</w:t>
      </w:r>
      <w:r w:rsidR="005B75F3" w:rsidRPr="005B75F3">
        <w:rPr>
          <w:rFonts w:ascii="Arial" w:hAnsi="Arial" w:cs="Arial"/>
          <w:b/>
        </w:rPr>
        <w:t xml:space="preserve">. </w:t>
      </w:r>
      <w:r w:rsidR="007178E8">
        <w:rPr>
          <w:rFonts w:ascii="Arial" w:hAnsi="Arial" w:cs="Arial"/>
          <w:b/>
        </w:rPr>
        <w:t xml:space="preserve">     </w:t>
      </w:r>
      <w:r w:rsidR="005B75F3" w:rsidRPr="005B75F3">
        <w:rPr>
          <w:rFonts w:ascii="Arial" w:hAnsi="Arial" w:cs="Arial"/>
          <w:b/>
        </w:rPr>
        <w:t xml:space="preserve"> </w:t>
      </w:r>
    </w:p>
    <w:p w:rsidR="00373E7B" w:rsidRPr="005B75F3" w:rsidRDefault="00373E7B">
      <w:pPr>
        <w:rPr>
          <w:rFonts w:ascii="Arial" w:hAnsi="Arial" w:cs="Arial"/>
        </w:rPr>
      </w:pPr>
    </w:p>
    <w:sectPr w:rsidR="00373E7B" w:rsidRPr="005B7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D23AB"/>
    <w:multiLevelType w:val="hybridMultilevel"/>
    <w:tmpl w:val="182A75CC"/>
    <w:lvl w:ilvl="0" w:tplc="8A847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698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0BB62">
      <w:start w:val="5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8D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2E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43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C5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80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46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2B27B1"/>
    <w:multiLevelType w:val="hybridMultilevel"/>
    <w:tmpl w:val="DF40492C"/>
    <w:lvl w:ilvl="0" w:tplc="B5726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6D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08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701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C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E4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87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67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EB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2C85D85"/>
    <w:multiLevelType w:val="hybridMultilevel"/>
    <w:tmpl w:val="3BDC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7B"/>
    <w:rsid w:val="000A355F"/>
    <w:rsid w:val="00187FFA"/>
    <w:rsid w:val="00217B33"/>
    <w:rsid w:val="00373E7B"/>
    <w:rsid w:val="003B48CE"/>
    <w:rsid w:val="003E3C16"/>
    <w:rsid w:val="0049129B"/>
    <w:rsid w:val="005A2ABC"/>
    <w:rsid w:val="005B75F3"/>
    <w:rsid w:val="007178E8"/>
    <w:rsid w:val="00721D10"/>
    <w:rsid w:val="007E2989"/>
    <w:rsid w:val="007F055F"/>
    <w:rsid w:val="009461B6"/>
    <w:rsid w:val="00987D27"/>
    <w:rsid w:val="009A1ED4"/>
    <w:rsid w:val="009E4524"/>
    <w:rsid w:val="00A622FF"/>
    <w:rsid w:val="00AE0377"/>
    <w:rsid w:val="00B4665D"/>
    <w:rsid w:val="00C961EE"/>
    <w:rsid w:val="00C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8B57A-DA16-4133-A250-49B140F2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7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3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92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54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34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63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7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07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53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74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90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45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pa.gov/pesticide-worker-safety/pesticide-poisoning-handbook-table-cont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frm=1&amp;source=images&amp;cd=&amp;cad=rja&amp;uact=8&amp;ved=0CAcQjRw&amp;url=https://slphreporting.ncpublichealth.com/lims/ClinicalLims/Login.aspx&amp;ei=g1gUVcDACcehNszegfgH&amp;bvm=bv.89217033,d.eXY&amp;psig=AFQjCNFqSR3zzMgQSw4Ll1OCNPGq-2Un0Q&amp;ust=142748307011425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 Staff</dc:creator>
  <cp:lastModifiedBy>Elaine Ellis</cp:lastModifiedBy>
  <cp:revision>2</cp:revision>
  <dcterms:created xsi:type="dcterms:W3CDTF">2015-05-12T19:59:00Z</dcterms:created>
  <dcterms:modified xsi:type="dcterms:W3CDTF">2015-05-12T19:59:00Z</dcterms:modified>
</cp:coreProperties>
</file>