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1.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header2.xml" ContentType="application/vnd.openxmlformats-officedocument.wordprocessingml.header+xml"/>
  <Default Extension="png" ContentType="image/png"/>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D8D3F" w14:textId="77777777" w:rsidR="00C76633" w:rsidRDefault="00C76633" w:rsidP="00C76633">
      <w:pPr>
        <w:jc w:val="center"/>
        <w:rPr>
          <w:rFonts w:asciiTheme="minorHAnsi" w:hAnsiTheme="minorHAnsi"/>
          <w:b/>
          <w:i/>
          <w:u w:val="single"/>
        </w:rPr>
      </w:pPr>
      <w:bookmarkStart w:id="0" w:name="_GoBack"/>
      <w:bookmarkEnd w:id="0"/>
      <w:r>
        <w:rPr>
          <w:rFonts w:asciiTheme="minorHAnsi" w:hAnsiTheme="minorHAnsi"/>
          <w:b/>
          <w:i/>
          <w:u w:val="single"/>
        </w:rPr>
        <w:t>Draft Outline of 1/12/15 Presentation to ACO Task Force on ACOs and Risk</w:t>
      </w:r>
    </w:p>
    <w:p w14:paraId="4100605C" w14:textId="77777777" w:rsidR="00C76633" w:rsidRPr="00C76633" w:rsidRDefault="00C76633" w:rsidP="00C76633">
      <w:pPr>
        <w:jc w:val="center"/>
        <w:rPr>
          <w:rFonts w:asciiTheme="minorHAnsi" w:hAnsiTheme="minorHAnsi"/>
          <w:b/>
          <w:i/>
          <w:u w:val="single"/>
        </w:rPr>
      </w:pPr>
    </w:p>
    <w:p w14:paraId="7D3ACA7F" w14:textId="1731BF85" w:rsidR="00A72B0B" w:rsidRDefault="00A72B0B" w:rsidP="0019250B">
      <w:pPr>
        <w:pStyle w:val="OutlineLevel1"/>
      </w:pPr>
      <w:r>
        <w:t xml:space="preserve">Both the House and Senate Bills </w:t>
      </w:r>
      <w:r w:rsidR="00C67764">
        <w:t>Contemplate Transition to Risk</w:t>
      </w:r>
    </w:p>
    <w:p w14:paraId="098E33E4" w14:textId="77777777" w:rsidR="00C67764" w:rsidRPr="00DD4273" w:rsidRDefault="00C67764" w:rsidP="00C67764">
      <w:pPr>
        <w:pStyle w:val="OutlineLevel2"/>
      </w:pPr>
      <w:r w:rsidRPr="00DD4273">
        <w:t>House Bill</w:t>
      </w:r>
      <w:r>
        <w:t xml:space="preserve"> 1181 (House Version)</w:t>
      </w:r>
      <w:r w:rsidRPr="00DD4273">
        <w:rPr>
          <w:rStyle w:val="FootnoteReference"/>
          <w:b/>
        </w:rPr>
        <w:footnoteReference w:id="1"/>
      </w:r>
    </w:p>
    <w:p w14:paraId="2F697364" w14:textId="77777777" w:rsidR="00C67764" w:rsidRDefault="00C67764" w:rsidP="00C67764">
      <w:pPr>
        <w:pStyle w:val="OutlineLevel3"/>
        <w:numPr>
          <w:ilvl w:val="0"/>
          <w:numId w:val="0"/>
        </w:numPr>
        <w:ind w:left="1800"/>
      </w:pPr>
      <w:r>
        <w:rPr>
          <w:noProof/>
          <w:lang w:bidi="ar-SA"/>
        </w:rPr>
        <w:drawing>
          <wp:inline distT="0" distB="0" distL="0" distR="0" wp14:anchorId="1248B3EC" wp14:editId="0A2B26C0">
            <wp:extent cx="4572000" cy="212969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1181 (House) 1.png"/>
                    <pic:cNvPicPr/>
                  </pic:nvPicPr>
                  <pic:blipFill>
                    <a:blip r:embed="rId9">
                      <a:extLst>
                        <a:ext uri="{28A0092B-C50C-407E-A947-70E740481C1C}">
                          <a14:useLocalDpi xmlns:a14="http://schemas.microsoft.com/office/drawing/2010/main" val="0"/>
                        </a:ext>
                      </a:extLst>
                    </a:blip>
                    <a:stretch>
                      <a:fillRect/>
                    </a:stretch>
                  </pic:blipFill>
                  <pic:spPr>
                    <a:xfrm>
                      <a:off x="0" y="0"/>
                      <a:ext cx="4575370" cy="2131261"/>
                    </a:xfrm>
                    <a:prstGeom prst="rect">
                      <a:avLst/>
                    </a:prstGeom>
                  </pic:spPr>
                </pic:pic>
              </a:graphicData>
            </a:graphic>
          </wp:inline>
        </w:drawing>
      </w:r>
    </w:p>
    <w:p w14:paraId="7B7C9AB1" w14:textId="77777777" w:rsidR="00C67764" w:rsidRPr="00977D50" w:rsidRDefault="00C67764" w:rsidP="00C67764">
      <w:pPr>
        <w:pStyle w:val="OutlineLevel2"/>
      </w:pPr>
      <w:r>
        <w:t>House</w:t>
      </w:r>
      <w:r w:rsidRPr="00977D50">
        <w:t xml:space="preserve"> Bill</w:t>
      </w:r>
      <w:r>
        <w:t xml:space="preserve"> 1181 (Senate Version)</w:t>
      </w:r>
      <w:r w:rsidRPr="00977D50">
        <w:rPr>
          <w:rStyle w:val="FootnoteReference"/>
          <w:b/>
        </w:rPr>
        <w:footnoteReference w:id="2"/>
      </w:r>
    </w:p>
    <w:p w14:paraId="7647708F" w14:textId="77777777" w:rsidR="00C67764" w:rsidRDefault="00C67764" w:rsidP="00C67764">
      <w:pPr>
        <w:pStyle w:val="OutlineLevel3"/>
        <w:numPr>
          <w:ilvl w:val="0"/>
          <w:numId w:val="0"/>
        </w:numPr>
        <w:ind w:left="1800"/>
      </w:pPr>
      <w:r>
        <w:rPr>
          <w:noProof/>
          <w:lang w:bidi="ar-SA"/>
        </w:rPr>
        <w:drawing>
          <wp:inline distT="0" distB="0" distL="0" distR="0" wp14:anchorId="347A4833" wp14:editId="5230AC0F">
            <wp:extent cx="4572000" cy="197338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1181 (Senate) 1.png"/>
                    <pic:cNvPicPr/>
                  </pic:nvPicPr>
                  <pic:blipFill>
                    <a:blip r:embed="rId10">
                      <a:extLst>
                        <a:ext uri="{28A0092B-C50C-407E-A947-70E740481C1C}">
                          <a14:useLocalDpi xmlns:a14="http://schemas.microsoft.com/office/drawing/2010/main" val="0"/>
                        </a:ext>
                      </a:extLst>
                    </a:blip>
                    <a:stretch>
                      <a:fillRect/>
                    </a:stretch>
                  </pic:blipFill>
                  <pic:spPr>
                    <a:xfrm>
                      <a:off x="0" y="0"/>
                      <a:ext cx="4573200" cy="1973902"/>
                    </a:xfrm>
                    <a:prstGeom prst="rect">
                      <a:avLst/>
                    </a:prstGeom>
                  </pic:spPr>
                </pic:pic>
              </a:graphicData>
            </a:graphic>
          </wp:inline>
        </w:drawing>
      </w:r>
    </w:p>
    <w:p w14:paraId="2DB60C52" w14:textId="77777777" w:rsidR="00C67764" w:rsidRDefault="00C67764" w:rsidP="00C67764">
      <w:pPr>
        <w:ind w:left="1080" w:firstLine="720"/>
        <w:jc w:val="center"/>
      </w:pPr>
      <w:r>
        <w:t>---------------------</w:t>
      </w:r>
    </w:p>
    <w:p w14:paraId="3C036EB2" w14:textId="77777777" w:rsidR="00C67764" w:rsidRDefault="00C67764" w:rsidP="00C67764">
      <w:pPr>
        <w:pStyle w:val="OutlineLevel3"/>
        <w:numPr>
          <w:ilvl w:val="0"/>
          <w:numId w:val="0"/>
        </w:numPr>
        <w:ind w:left="1800"/>
      </w:pPr>
      <w:r>
        <w:rPr>
          <w:noProof/>
          <w:lang w:bidi="ar-SA"/>
        </w:rPr>
        <w:drawing>
          <wp:inline distT="0" distB="0" distL="0" distR="0" wp14:anchorId="3045ABFE" wp14:editId="7BE4025E">
            <wp:extent cx="4572000" cy="27695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1181 (Senate) 2.png"/>
                    <pic:cNvPicPr/>
                  </pic:nvPicPr>
                  <pic:blipFill>
                    <a:blip r:embed="rId11">
                      <a:extLst>
                        <a:ext uri="{28A0092B-C50C-407E-A947-70E740481C1C}">
                          <a14:useLocalDpi xmlns:a14="http://schemas.microsoft.com/office/drawing/2010/main" val="0"/>
                        </a:ext>
                      </a:extLst>
                    </a:blip>
                    <a:stretch>
                      <a:fillRect/>
                    </a:stretch>
                  </pic:blipFill>
                  <pic:spPr>
                    <a:xfrm>
                      <a:off x="0" y="0"/>
                      <a:ext cx="4580934" cy="277498"/>
                    </a:xfrm>
                    <a:prstGeom prst="rect">
                      <a:avLst/>
                    </a:prstGeom>
                  </pic:spPr>
                </pic:pic>
              </a:graphicData>
            </a:graphic>
          </wp:inline>
        </w:drawing>
      </w:r>
    </w:p>
    <w:p w14:paraId="6ABA7263" w14:textId="77777777" w:rsidR="00C67764" w:rsidRDefault="00C67764" w:rsidP="00C67764">
      <w:pPr>
        <w:ind w:left="1080" w:firstLine="720"/>
        <w:jc w:val="center"/>
      </w:pPr>
      <w:r>
        <w:t>----------------------</w:t>
      </w:r>
    </w:p>
    <w:p w14:paraId="40BC0EBD" w14:textId="3E47689F" w:rsidR="00C67764" w:rsidRDefault="00C67764" w:rsidP="00C67764">
      <w:pPr>
        <w:pStyle w:val="OutlineLevel3"/>
        <w:numPr>
          <w:ilvl w:val="0"/>
          <w:numId w:val="0"/>
        </w:numPr>
        <w:ind w:left="1800"/>
      </w:pPr>
      <w:r>
        <w:rPr>
          <w:noProof/>
          <w:lang w:bidi="ar-SA"/>
        </w:rPr>
        <w:drawing>
          <wp:inline distT="0" distB="0" distL="0" distR="0" wp14:anchorId="753BBAD8" wp14:editId="0F7BE37D">
            <wp:extent cx="4572000" cy="878254"/>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1181 (Senate) 3.png"/>
                    <pic:cNvPicPr/>
                  </pic:nvPicPr>
                  <pic:blipFill>
                    <a:blip r:embed="rId12">
                      <a:extLst>
                        <a:ext uri="{28A0092B-C50C-407E-A947-70E740481C1C}">
                          <a14:useLocalDpi xmlns:a14="http://schemas.microsoft.com/office/drawing/2010/main" val="0"/>
                        </a:ext>
                      </a:extLst>
                    </a:blip>
                    <a:stretch>
                      <a:fillRect/>
                    </a:stretch>
                  </pic:blipFill>
                  <pic:spPr>
                    <a:xfrm>
                      <a:off x="0" y="0"/>
                      <a:ext cx="4572000" cy="878254"/>
                    </a:xfrm>
                    <a:prstGeom prst="rect">
                      <a:avLst/>
                    </a:prstGeom>
                  </pic:spPr>
                </pic:pic>
              </a:graphicData>
            </a:graphic>
          </wp:inline>
        </w:drawing>
      </w:r>
    </w:p>
    <w:p w14:paraId="467D8549" w14:textId="77777777" w:rsidR="0019250B" w:rsidRDefault="0047596D" w:rsidP="00C67764">
      <w:pPr>
        <w:pStyle w:val="OutlineLevel1"/>
        <w:keepNext/>
      </w:pPr>
      <w:r>
        <w:lastRenderedPageBreak/>
        <w:t>What is “insurance”?</w:t>
      </w:r>
    </w:p>
    <w:p w14:paraId="586F0F85" w14:textId="77777777" w:rsidR="0019250B" w:rsidRDefault="0019250B" w:rsidP="00C67764">
      <w:pPr>
        <w:pStyle w:val="OutlineLevel2"/>
        <w:keepNext/>
      </w:pPr>
      <w:r>
        <w:t xml:space="preserve">Elements of an Insurance Contract: </w:t>
      </w:r>
    </w:p>
    <w:p w14:paraId="37B33E87" w14:textId="77777777" w:rsidR="0019250B" w:rsidRDefault="0019250B" w:rsidP="0019250B">
      <w:pPr>
        <w:pStyle w:val="OutlineLevel3"/>
      </w:pPr>
      <w:r>
        <w:rPr>
          <w:u w:val="single"/>
        </w:rPr>
        <w:t>Statutory Definition</w:t>
      </w:r>
      <w:r>
        <w:t>:</w:t>
      </w:r>
    </w:p>
    <w:p w14:paraId="72729961" w14:textId="77777777" w:rsidR="0019250B" w:rsidRPr="002D336E" w:rsidRDefault="0019250B" w:rsidP="0019250B">
      <w:pPr>
        <w:pStyle w:val="OutlineLevel4"/>
        <w:rPr>
          <w:szCs w:val="22"/>
        </w:rPr>
      </w:pPr>
      <w:r w:rsidRPr="002D336E">
        <w:rPr>
          <w:szCs w:val="22"/>
        </w:rPr>
        <w:t>“An agreement by which the insurer is bound to pay money or its equivalent or to do some act of value to the insured upon . . .”</w:t>
      </w:r>
    </w:p>
    <w:p w14:paraId="3173245C" w14:textId="77777777" w:rsidR="0019250B" w:rsidRPr="00BF55C7" w:rsidRDefault="0019250B" w:rsidP="00453E6D">
      <w:pPr>
        <w:pStyle w:val="OutlineLevel4"/>
        <w:rPr>
          <w:szCs w:val="22"/>
        </w:rPr>
      </w:pPr>
      <w:r w:rsidRPr="00BF55C7">
        <w:rPr>
          <w:szCs w:val="22"/>
        </w:rPr>
        <w:t>“. . . as an indemnity or reimbursement for the destruction, loss, or injury of something in which the other party has an interest.”</w:t>
      </w:r>
      <w:r w:rsidRPr="00BF55C7">
        <w:rPr>
          <w:rStyle w:val="FootnoteReference"/>
          <w:szCs w:val="22"/>
        </w:rPr>
        <w:footnoteReference w:id="3"/>
      </w:r>
    </w:p>
    <w:p w14:paraId="2946BCA8" w14:textId="77777777" w:rsidR="0019250B" w:rsidRPr="0050525F" w:rsidRDefault="0019250B" w:rsidP="0019250B">
      <w:pPr>
        <w:pStyle w:val="OutlineLevel3"/>
      </w:pPr>
      <w:r>
        <w:rPr>
          <w:u w:val="single"/>
        </w:rPr>
        <w:t>Elaboration/Restatement in Case Law</w:t>
      </w:r>
      <w:r w:rsidRPr="0050525F">
        <w:t>:</w:t>
      </w:r>
    </w:p>
    <w:p w14:paraId="19C04DB4" w14:textId="77777777" w:rsidR="0019250B" w:rsidRDefault="0019250B" w:rsidP="0019250B">
      <w:pPr>
        <w:pStyle w:val="OutlineLevel4"/>
      </w:pPr>
      <w:r>
        <w:t>“Insurance is ‘a contract whereby, for a stipulated consideration, one party undertakes to compensate the other for loss on a specified subject by specified perils.’”</w:t>
      </w:r>
      <w:r>
        <w:rPr>
          <w:rStyle w:val="FootnoteReference"/>
        </w:rPr>
        <w:footnoteReference w:id="4"/>
      </w:r>
    </w:p>
    <w:p w14:paraId="0171AF9C" w14:textId="77777777" w:rsidR="0019250B" w:rsidRDefault="0019250B" w:rsidP="0019250B">
      <w:pPr>
        <w:pStyle w:val="OutlineLevel4"/>
      </w:pPr>
      <w:r w:rsidRPr="00EE2432">
        <w:t>“One characteristic of an insurance contract is the shifting of a risk from the insured to the insurer. If no risk is shifted there is not an insurance contract.”</w:t>
      </w:r>
      <w:r>
        <w:rPr>
          <w:rStyle w:val="FootnoteReference"/>
        </w:rPr>
        <w:footnoteReference w:id="5"/>
      </w:r>
    </w:p>
    <w:p w14:paraId="016AB683" w14:textId="77777777" w:rsidR="0066287A" w:rsidRDefault="0066287A" w:rsidP="0066287A">
      <w:pPr>
        <w:pStyle w:val="OutlineLevel1"/>
      </w:pPr>
      <w:r>
        <w:t>How and why insurance is regulated</w:t>
      </w:r>
    </w:p>
    <w:p w14:paraId="75E873F7" w14:textId="77777777" w:rsidR="0066287A" w:rsidRDefault="0066287A" w:rsidP="0066287A">
      <w:pPr>
        <w:pStyle w:val="OutlineLevel2"/>
      </w:pPr>
      <w:r>
        <w:t>Why Regulate?</w:t>
      </w:r>
    </w:p>
    <w:p w14:paraId="71B5AECB" w14:textId="77777777" w:rsidR="0066287A" w:rsidRPr="001E33BC" w:rsidRDefault="0066287A" w:rsidP="0066287A">
      <w:pPr>
        <w:pStyle w:val="OutlineLevel3"/>
        <w:rPr>
          <w:szCs w:val="22"/>
        </w:rPr>
      </w:pPr>
      <w:r w:rsidRPr="001E33BC">
        <w:rPr>
          <w:szCs w:val="22"/>
        </w:rPr>
        <w:t>“The effect of insurance—indeed, it has been said to be its fundamental object—is to distribute the loss over as wide an area as possible. In other words, the loss is spread over the country, the disaster to an individual is shared by many, the disaster to a community shared by other communities; great catastrophes are thereby lessened, and, it may be, repaired.”</w:t>
      </w:r>
      <w:r w:rsidRPr="001E33BC">
        <w:rPr>
          <w:rStyle w:val="FootnoteReference"/>
          <w:szCs w:val="22"/>
        </w:rPr>
        <w:footnoteReference w:id="6"/>
      </w:r>
    </w:p>
    <w:p w14:paraId="61FF8E2A" w14:textId="6FC8486D" w:rsidR="0066287A" w:rsidRPr="001E33BC" w:rsidRDefault="0066287A" w:rsidP="0066287A">
      <w:pPr>
        <w:pStyle w:val="OutlineLevel3"/>
        <w:rPr>
          <w:szCs w:val="22"/>
        </w:rPr>
      </w:pPr>
      <w:r w:rsidRPr="001E33BC">
        <w:rPr>
          <w:szCs w:val="22"/>
        </w:rPr>
        <w:t>If an insurance company becomes unable to pay claims it has obligated itself to pay, that loss-spreading function is compromised</w:t>
      </w:r>
      <w:r w:rsidR="00B008BF">
        <w:rPr>
          <w:szCs w:val="22"/>
        </w:rPr>
        <w:t xml:space="preserve">. The claimant, whose only sin </w:t>
      </w:r>
      <w:r w:rsidR="00E03F06">
        <w:rPr>
          <w:szCs w:val="22"/>
        </w:rPr>
        <w:t>may have been</w:t>
      </w:r>
      <w:r w:rsidR="00B008BF">
        <w:rPr>
          <w:szCs w:val="22"/>
        </w:rPr>
        <w:t xml:space="preserve"> bad luck, will be stuck holding the bag.</w:t>
      </w:r>
    </w:p>
    <w:p w14:paraId="23FDDB2B" w14:textId="77777777" w:rsidR="0066287A" w:rsidRPr="001E33BC" w:rsidRDefault="0066287A" w:rsidP="0066287A">
      <w:pPr>
        <w:pStyle w:val="OutlineLevel3"/>
        <w:rPr>
          <w:szCs w:val="22"/>
        </w:rPr>
      </w:pPr>
      <w:r w:rsidRPr="001E33BC">
        <w:rPr>
          <w:szCs w:val="22"/>
        </w:rPr>
        <w:t>“The Legislature must . . . evolve a plan which will best protect the public interest and ensure the liquidity and solvency of participating insurance companies in our state who must also be assured of a reasonable profit.”</w:t>
      </w:r>
      <w:r w:rsidRPr="001E33BC">
        <w:rPr>
          <w:rStyle w:val="FootnoteReference"/>
          <w:szCs w:val="22"/>
        </w:rPr>
        <w:footnoteReference w:id="7"/>
      </w:r>
    </w:p>
    <w:p w14:paraId="5CCDC867" w14:textId="77777777" w:rsidR="0066287A" w:rsidRDefault="0066287A" w:rsidP="0066287A">
      <w:pPr>
        <w:pStyle w:val="OutlineLevel2"/>
      </w:pPr>
      <w:r>
        <w:t>Basic Financial Responsibility Requirements for North Carolina Accident and Health Insurers</w:t>
      </w:r>
    </w:p>
    <w:p w14:paraId="5D8DF1B5" w14:textId="77777777" w:rsidR="00545954" w:rsidRDefault="00545954" w:rsidP="0066287A">
      <w:pPr>
        <w:pStyle w:val="OutlineLevel3"/>
      </w:pPr>
      <w:r>
        <w:t>Capital Deposit, Additional “Risk Based Capital,” Reserve Requirements, Annual Reporting.</w:t>
      </w:r>
    </w:p>
    <w:p w14:paraId="297E81E0" w14:textId="77777777" w:rsidR="0066287A" w:rsidRDefault="00545954" w:rsidP="00545954">
      <w:pPr>
        <w:pStyle w:val="OutlineLevel3"/>
      </w:pPr>
      <w:r>
        <w:t>Specific numbers vary depending on type and size of insurer and nature of risk portfolio. [</w:t>
      </w:r>
      <w:r w:rsidRPr="00545954">
        <w:rPr>
          <w:highlight w:val="yellow"/>
        </w:rPr>
        <w:t>Can Bill Barnett provide a ballpark number for a typical health insurer?</w:t>
      </w:r>
      <w:r>
        <w:t>]</w:t>
      </w:r>
    </w:p>
    <w:p w14:paraId="75492F09" w14:textId="77777777" w:rsidR="0066287A" w:rsidRDefault="0047596D" w:rsidP="0047596D">
      <w:pPr>
        <w:pStyle w:val="OutlineLevel1"/>
      </w:pPr>
      <w:r>
        <w:lastRenderedPageBreak/>
        <w:t>Distinguishing Insurance Risk from Business Risk</w:t>
      </w:r>
    </w:p>
    <w:p w14:paraId="139E631C" w14:textId="77777777" w:rsidR="0005058A" w:rsidRDefault="00130FC4" w:rsidP="00102C21">
      <w:pPr>
        <w:pStyle w:val="OutlineLevel2"/>
      </w:pPr>
      <w:r>
        <w:t>Transition</w:t>
      </w:r>
    </w:p>
    <w:p w14:paraId="3E4CDFF2" w14:textId="77777777" w:rsidR="00361EDB" w:rsidRDefault="00D22AB4" w:rsidP="00361EDB">
      <w:pPr>
        <w:pStyle w:val="OutlineLevel3"/>
      </w:pPr>
      <w:r>
        <w:t>Risk must be shifted for a contract to be considered insurance, but risk-shifting alone is no</w:t>
      </w:r>
      <w:r w:rsidR="00706BD7">
        <w:t>t enough.</w:t>
      </w:r>
    </w:p>
    <w:p w14:paraId="2638184A" w14:textId="77777777" w:rsidR="00706BD7" w:rsidRDefault="00706BD7" w:rsidP="00706BD7">
      <w:pPr>
        <w:pStyle w:val="OutlineLevel3"/>
      </w:pPr>
      <w:r>
        <w:t>All sorts of contracts involve the assumption of risk, but aren’t regulated as insurance:</w:t>
      </w:r>
    </w:p>
    <w:p w14:paraId="51088C66" w14:textId="77777777" w:rsidR="0095689C" w:rsidRDefault="0095689C" w:rsidP="0095689C">
      <w:pPr>
        <w:pStyle w:val="OutlineLevel4"/>
      </w:pPr>
      <w:r>
        <w:t>Example 1: All-you-can-eat buffet</w:t>
      </w:r>
    </w:p>
    <w:p w14:paraId="4FFF03C3" w14:textId="77777777" w:rsidR="0095689C" w:rsidRDefault="0095689C" w:rsidP="0095689C">
      <w:pPr>
        <w:pStyle w:val="OutlineLevel4"/>
      </w:pPr>
      <w:r>
        <w:t>Example 2: [</w:t>
      </w:r>
      <w:r w:rsidRPr="00E03F06">
        <w:rPr>
          <w:highlight w:val="yellow"/>
        </w:rPr>
        <w:t>Provider-relevant example of non-insurance risk in ordinary business contract</w:t>
      </w:r>
      <w:r w:rsidR="00A93B57" w:rsidRPr="00E03F06">
        <w:rPr>
          <w:highlight w:val="yellow"/>
        </w:rPr>
        <w:t xml:space="preserve">. Invest in equipment, run risk of new </w:t>
      </w:r>
      <w:r w:rsidR="007A4850" w:rsidRPr="00E03F06">
        <w:rPr>
          <w:highlight w:val="yellow"/>
        </w:rPr>
        <w:t>technology</w:t>
      </w:r>
      <w:r w:rsidR="00A93B57" w:rsidRPr="00E03F06">
        <w:rPr>
          <w:highlight w:val="yellow"/>
        </w:rPr>
        <w:t xml:space="preserve"> that will render it obsolete?</w:t>
      </w:r>
      <w:r w:rsidRPr="00E03F06">
        <w:rPr>
          <w:highlight w:val="yellow"/>
        </w:rPr>
        <w:t>]</w:t>
      </w:r>
    </w:p>
    <w:p w14:paraId="05404076" w14:textId="77777777" w:rsidR="00FF7F34" w:rsidRDefault="00FF7F34" w:rsidP="00102C21">
      <w:pPr>
        <w:pStyle w:val="OutlineLevel2"/>
      </w:pPr>
      <w:r>
        <w:t>How to tell whether a particular contract involves business risk or insurance risk:</w:t>
      </w:r>
    </w:p>
    <w:p w14:paraId="0CF5A292" w14:textId="77777777" w:rsidR="00D755EC" w:rsidRDefault="007A4850" w:rsidP="009D77A3">
      <w:pPr>
        <w:pStyle w:val="OutlineLevel3"/>
      </w:pPr>
      <w:r>
        <w:t xml:space="preserve">In general courts use the “principal purpose” test: </w:t>
      </w:r>
      <w:r w:rsidR="00D755EC">
        <w:t xml:space="preserve"> Is the principal purpose of the contract to shift risk? Or is the principal purpose to purchase services?</w:t>
      </w:r>
      <w:r w:rsidR="0012349B">
        <w:rPr>
          <w:rStyle w:val="FootnoteReference"/>
        </w:rPr>
        <w:footnoteReference w:id="8"/>
      </w:r>
    </w:p>
    <w:p w14:paraId="466A7B41" w14:textId="77777777" w:rsidR="00717B07" w:rsidRDefault="00717B07" w:rsidP="00717B07">
      <w:pPr>
        <w:pStyle w:val="OutlineLevel3"/>
      </w:pPr>
      <w:r>
        <w:t>Some relevant questions:</w:t>
      </w:r>
    </w:p>
    <w:p w14:paraId="7E0739A3" w14:textId="77777777" w:rsidR="00421EC4" w:rsidRDefault="00421EC4" w:rsidP="00421EC4">
      <w:pPr>
        <w:pStyle w:val="OutlineLevel4"/>
      </w:pPr>
      <w:r>
        <w:t xml:space="preserve">How likely is it that the purchaser will actually utilize the service </w:t>
      </w:r>
      <w:r w:rsidR="009C246A">
        <w:t>being off</w:t>
      </w:r>
      <w:r w:rsidR="00E35974">
        <w:t>ered? If there’s only a small chance of utilization, a court is more likely to say that the principal purpose is risk-shifting.</w:t>
      </w:r>
    </w:p>
    <w:p w14:paraId="763B17ED" w14:textId="77777777" w:rsidR="00C364E7" w:rsidRPr="00C364E7" w:rsidRDefault="00C364E7" w:rsidP="00C364E7">
      <w:pPr>
        <w:pStyle w:val="OutlineLevel5"/>
      </w:pPr>
      <w:r>
        <w:rPr>
          <w:i/>
        </w:rPr>
        <w:t xml:space="preserve">Not Insurance: </w:t>
      </w:r>
      <w:r>
        <w:t>For a flat monthly fee, a company agrees maintain a vehicle, including not just mechanical and body repairs, but also gas, monthly washing, yearly paint jobs, obtaining insurance, etc.</w:t>
      </w:r>
      <w:r>
        <w:rPr>
          <w:rStyle w:val="FootnoteReference"/>
        </w:rPr>
        <w:footnoteReference w:id="9"/>
      </w:r>
    </w:p>
    <w:p w14:paraId="5411C6B9" w14:textId="77777777" w:rsidR="00C364E7" w:rsidRDefault="00C364E7" w:rsidP="00700142">
      <w:pPr>
        <w:pStyle w:val="OutlineLevel5"/>
      </w:pPr>
      <w:r>
        <w:rPr>
          <w:i/>
        </w:rPr>
        <w:t xml:space="preserve">Insurance: </w:t>
      </w:r>
      <w:r>
        <w:t>For a one-time fee, a car dealer agrees to repair any mechanical malfunction that occurs during a specified period of time, with no payment from the customer aside from a $25.00 per-incidence fee, but regular maintenance is the purchaser’s responsibility.</w:t>
      </w:r>
      <w:r>
        <w:rPr>
          <w:rStyle w:val="FootnoteReference"/>
        </w:rPr>
        <w:footnoteReference w:id="10"/>
      </w:r>
    </w:p>
    <w:p w14:paraId="49018923" w14:textId="273C05D8" w:rsidR="00CC4888" w:rsidRDefault="00AD7482" w:rsidP="00700142">
      <w:pPr>
        <w:pStyle w:val="OutlineLevel5"/>
      </w:pPr>
      <w:r>
        <w:rPr>
          <w:i/>
        </w:rPr>
        <w:t>Health Context</w:t>
      </w:r>
      <w:r w:rsidR="004E0071">
        <w:t>: primary care</w:t>
      </w:r>
      <w:r w:rsidR="00E03F06">
        <w:t xml:space="preserve"> (routine; everybody needs it)</w:t>
      </w:r>
      <w:r w:rsidR="004E0071">
        <w:t xml:space="preserve"> vs. emergencies</w:t>
      </w:r>
      <w:r w:rsidR="00E03F06">
        <w:t xml:space="preserve"> (most people will not need)</w:t>
      </w:r>
    </w:p>
    <w:p w14:paraId="5AF6ED10" w14:textId="3E537CD6" w:rsidR="00700142" w:rsidRDefault="00764A8F" w:rsidP="00700142">
      <w:pPr>
        <w:pStyle w:val="OutlineLevel4"/>
      </w:pPr>
      <w:r>
        <w:t>Does the entity provide most of the services itself? Or is it just an intermediary, obtaining services</w:t>
      </w:r>
      <w:r w:rsidR="00E03F06">
        <w:t xml:space="preserve"> from third parties</w:t>
      </w:r>
      <w:r>
        <w:t xml:space="preserve">? </w:t>
      </w:r>
      <w:r w:rsidR="004B3D53">
        <w:t xml:space="preserve">If the entity is obtaining services from third parties, </w:t>
      </w:r>
      <w:r w:rsidR="00D471C8">
        <w:t>a court is more likely to say the principal purpose is risk-shifting.</w:t>
      </w:r>
    </w:p>
    <w:p w14:paraId="4DF1677D" w14:textId="77777777" w:rsidR="00BB49DA" w:rsidRDefault="00BB49DA" w:rsidP="00E03F06">
      <w:pPr>
        <w:pStyle w:val="OutlineLevel3"/>
        <w:keepNext/>
      </w:pPr>
      <w:r>
        <w:t xml:space="preserve">1939 D.C. Circuit Case: </w:t>
      </w:r>
      <w:r>
        <w:rPr>
          <w:i/>
        </w:rPr>
        <w:t>Jordan v. Group Health Association</w:t>
      </w:r>
      <w:r>
        <w:rPr>
          <w:rStyle w:val="FootnoteReference"/>
          <w:i/>
        </w:rPr>
        <w:footnoteReference w:id="11"/>
      </w:r>
    </w:p>
    <w:p w14:paraId="411BF6BC" w14:textId="77777777" w:rsidR="00BB49DA" w:rsidRDefault="00BB49DA" w:rsidP="00BB49DA">
      <w:pPr>
        <w:pStyle w:val="OutlineLevel4"/>
      </w:pPr>
      <w:r>
        <w:t>Facts: Members paid flat monthly fee to Group Health; Group Health was obligated to arrange for whatever medical services members needed (by contracting with independent providers).</w:t>
      </w:r>
    </w:p>
    <w:p w14:paraId="68D55958" w14:textId="77777777" w:rsidR="00BB49DA" w:rsidRDefault="00BB49DA" w:rsidP="00BB49DA">
      <w:pPr>
        <w:pStyle w:val="OutlineLevel4"/>
      </w:pPr>
      <w:r>
        <w:lastRenderedPageBreak/>
        <w:t>The court determined that this was not a contract for insurance.</w:t>
      </w:r>
    </w:p>
    <w:p w14:paraId="5BD17702" w14:textId="77777777" w:rsidR="00BB49DA" w:rsidRDefault="00BB49DA" w:rsidP="00BB49DA">
      <w:pPr>
        <w:pStyle w:val="OutlineLevel5"/>
      </w:pPr>
      <w:r>
        <w:t>“Although Group Health’s activities may be considered in one aspect as creating security against loss from illness or accident, more truly they constitute the quantity purchase of well-rounded, continuous medical service by its members.”</w:t>
      </w:r>
      <w:r>
        <w:rPr>
          <w:rStyle w:val="FootnoteReference"/>
        </w:rPr>
        <w:footnoteReference w:id="12"/>
      </w:r>
    </w:p>
    <w:p w14:paraId="0DCF731A" w14:textId="77777777" w:rsidR="00BB49DA" w:rsidRPr="00744A3B" w:rsidRDefault="00BB49DA" w:rsidP="00BB49DA">
      <w:pPr>
        <w:pStyle w:val="OutlineLevel5"/>
      </w:pPr>
      <w:r>
        <w:t>“There is, therefore, a substantial difference between contracting in this way for the rendering of service even on the contingency that it be needed, and contracting merely to stand its cost when or after it is rendered.”</w:t>
      </w:r>
      <w:r>
        <w:rPr>
          <w:rStyle w:val="FootnoteReference"/>
        </w:rPr>
        <w:footnoteReference w:id="13"/>
      </w:r>
    </w:p>
    <w:p w14:paraId="6A7F6B15" w14:textId="77777777" w:rsidR="00D4596D" w:rsidRPr="00BB49DA" w:rsidRDefault="00BB49DA" w:rsidP="00775C83">
      <w:pPr>
        <w:pStyle w:val="OutlineLevel3"/>
      </w:pPr>
      <w:r>
        <w:rPr>
          <w:i/>
        </w:rPr>
        <w:t xml:space="preserve">1996 Attorney General Opinion on </w:t>
      </w:r>
      <w:r w:rsidR="00D4596D">
        <w:rPr>
          <w:i/>
        </w:rPr>
        <w:t>Direct Contracting</w:t>
      </w:r>
    </w:p>
    <w:p w14:paraId="353BFF23" w14:textId="77777777" w:rsidR="00BB49DA" w:rsidRDefault="004E74A6" w:rsidP="004E74A6">
      <w:pPr>
        <w:pStyle w:val="OutlineLevel4"/>
      </w:pPr>
      <w:r>
        <w:t>In 1996, the Attorney General issued a legal opinion stating that a provider group who contracted with a self-insured employer plan on a prepaid, capitated basis did not take on insurance risk because “the principal purpose of the . . . contract is obtaining health care services, not protecting against a financial risk.”</w:t>
      </w:r>
      <w:r>
        <w:rPr>
          <w:rStyle w:val="FootnoteReference"/>
        </w:rPr>
        <w:footnoteReference w:id="14"/>
      </w:r>
    </w:p>
    <w:p w14:paraId="59B7BAE1" w14:textId="77777777" w:rsidR="0047596D" w:rsidRDefault="0047596D" w:rsidP="0047596D">
      <w:pPr>
        <w:pStyle w:val="OutlineLevel1"/>
      </w:pPr>
      <w:r>
        <w:t>HMOs</w:t>
      </w:r>
    </w:p>
    <w:p w14:paraId="7889296B" w14:textId="77777777" w:rsidR="00CA4354" w:rsidRDefault="00CA4354" w:rsidP="00102C21">
      <w:pPr>
        <w:pStyle w:val="OutlineLevel2"/>
      </w:pPr>
      <w:r>
        <w:t>What is an HMO?</w:t>
      </w:r>
    </w:p>
    <w:p w14:paraId="4106EC5A" w14:textId="77777777" w:rsidR="00CA4354" w:rsidRDefault="00CA4354" w:rsidP="00FD7AD6">
      <w:pPr>
        <w:pStyle w:val="OutlineLevel3"/>
      </w:pPr>
      <w:r w:rsidRPr="00FD7AD6">
        <w:rPr>
          <w:u w:val="single"/>
        </w:rPr>
        <w:t>Statutory Definition</w:t>
      </w:r>
      <w:r>
        <w:t>: An entity that “undertakes to provide or arrange for the delivery of health care services on a prepaid basis except for enrollee responsibility for copayments and deductibles.”</w:t>
      </w:r>
      <w:r>
        <w:rPr>
          <w:rStyle w:val="FootnoteReference"/>
        </w:rPr>
        <w:footnoteReference w:id="15"/>
      </w:r>
    </w:p>
    <w:p w14:paraId="41A6038D" w14:textId="77777777" w:rsidR="00A81F01" w:rsidRDefault="00A81F01" w:rsidP="00102C21">
      <w:pPr>
        <w:pStyle w:val="OutlineLevel2"/>
      </w:pPr>
      <w:r>
        <w:t xml:space="preserve">Are HMOs </w:t>
      </w:r>
      <w:r w:rsidR="00FD7AD6">
        <w:t>“</w:t>
      </w:r>
      <w:r>
        <w:t>Insurance</w:t>
      </w:r>
      <w:r w:rsidR="00FD7AD6">
        <w:t>”</w:t>
      </w:r>
      <w:r>
        <w:t>?</w:t>
      </w:r>
    </w:p>
    <w:p w14:paraId="18E2FD4F" w14:textId="77777777" w:rsidR="00A81F01" w:rsidRDefault="00A81F01" w:rsidP="00A81F01">
      <w:pPr>
        <w:pStyle w:val="OutlineLevel3"/>
      </w:pPr>
      <w:r>
        <w:t xml:space="preserve">Under the analysis above, whether an entity is provider-led or simply has providers as employees </w:t>
      </w:r>
      <w:r w:rsidR="00B514E0">
        <w:t>is not relevant. Thus, a staff-model HMO would probably not be considered insurance.</w:t>
      </w:r>
    </w:p>
    <w:p w14:paraId="571C854E" w14:textId="77777777" w:rsidR="00B514E0" w:rsidRDefault="00B514E0" w:rsidP="00A81F01">
      <w:pPr>
        <w:pStyle w:val="OutlineLevel3"/>
      </w:pPr>
      <w:r>
        <w:t>Indeed, some courts have specifically held that HMOs are not insurance.</w:t>
      </w:r>
      <w:r>
        <w:rPr>
          <w:rStyle w:val="FootnoteReference"/>
        </w:rPr>
        <w:footnoteReference w:id="16"/>
      </w:r>
    </w:p>
    <w:p w14:paraId="7C32F7B8" w14:textId="77777777" w:rsidR="00CA4354" w:rsidRDefault="00CA4354" w:rsidP="00A81F01">
      <w:pPr>
        <w:pStyle w:val="OutlineLevel3"/>
      </w:pPr>
      <w:r>
        <w:t>This is part of the reason state legislatures adopted legislation specifically directed at ACOs.</w:t>
      </w:r>
    </w:p>
    <w:p w14:paraId="4A564DBF" w14:textId="77777777" w:rsidR="006954AE" w:rsidRDefault="006954AE" w:rsidP="006954AE">
      <w:pPr>
        <w:pStyle w:val="OutlineLevel3"/>
      </w:pPr>
      <w:r>
        <w:t>Key Point: Whether an entity is doing insurance is not the same question as whether it’s an HMO.</w:t>
      </w:r>
    </w:p>
    <w:p w14:paraId="6BF1749F" w14:textId="77777777" w:rsidR="002F5198" w:rsidRDefault="002F5198" w:rsidP="002F5198">
      <w:pPr>
        <w:pStyle w:val="OutlineLevel2"/>
      </w:pPr>
      <w:r>
        <w:t>Financial Requirements</w:t>
      </w:r>
    </w:p>
    <w:p w14:paraId="2913E89B" w14:textId="77777777" w:rsidR="002F5198" w:rsidRDefault="002F5198" w:rsidP="002F5198">
      <w:pPr>
        <w:pStyle w:val="OutlineLevel3"/>
      </w:pPr>
      <w:r>
        <w:rPr>
          <w:u w:val="single"/>
        </w:rPr>
        <w:t>Minimum Net Worth</w:t>
      </w:r>
      <w:r>
        <w:t>: At least $1 million; potentially more.</w:t>
      </w:r>
      <w:r>
        <w:rPr>
          <w:rStyle w:val="FootnoteReference"/>
        </w:rPr>
        <w:footnoteReference w:id="17"/>
      </w:r>
    </w:p>
    <w:p w14:paraId="7BCF4B10" w14:textId="77777777" w:rsidR="002F5198" w:rsidRDefault="002F5198" w:rsidP="002F5198">
      <w:pPr>
        <w:pStyle w:val="OutlineLevel3"/>
      </w:pPr>
      <w:r>
        <w:rPr>
          <w:u w:val="single"/>
        </w:rPr>
        <w:t>Liquidity Requirement</w:t>
      </w:r>
      <w:r>
        <w:t>: $500,000 deposit for full-service HMOs.</w:t>
      </w:r>
      <w:r>
        <w:rPr>
          <w:rStyle w:val="FootnoteReference"/>
        </w:rPr>
        <w:footnoteReference w:id="18"/>
      </w:r>
    </w:p>
    <w:p w14:paraId="5A7F8CF6" w14:textId="77777777" w:rsidR="002F5198" w:rsidRDefault="002F5198" w:rsidP="002F5198">
      <w:pPr>
        <w:pStyle w:val="OutlineLevel3"/>
      </w:pPr>
      <w:r>
        <w:rPr>
          <w:u w:val="single"/>
        </w:rPr>
        <w:lastRenderedPageBreak/>
        <w:t>Planning &amp; Reporting</w:t>
      </w:r>
      <w:r w:rsidRPr="00D2673D">
        <w:t>:</w:t>
      </w:r>
      <w:r>
        <w:t xml:space="preserve"> Every HMO “shall have and maintain at all times an adequate plan for protection against insolvency acceptable to the Commissioner.”</w:t>
      </w:r>
      <w:r>
        <w:rPr>
          <w:rStyle w:val="FootnoteReference"/>
        </w:rPr>
        <w:footnoteReference w:id="19"/>
      </w:r>
    </w:p>
    <w:p w14:paraId="6A4FA5C9" w14:textId="77777777" w:rsidR="002F5198" w:rsidRDefault="002F5198" w:rsidP="002F5198">
      <w:pPr>
        <w:pStyle w:val="OutlineLevel3"/>
      </w:pPr>
      <w:r>
        <w:rPr>
          <w:u w:val="single"/>
        </w:rPr>
        <w:t>Exceptions</w:t>
      </w:r>
      <w:r>
        <w:t>:</w:t>
      </w:r>
    </w:p>
    <w:p w14:paraId="0C9809DB" w14:textId="77777777" w:rsidR="002F5198" w:rsidRDefault="002F5198" w:rsidP="002F5198">
      <w:pPr>
        <w:pStyle w:val="OutlineLevel4"/>
      </w:pPr>
      <w:r>
        <w:t xml:space="preserve">“This Article does not apply to </w:t>
      </w:r>
    </w:p>
    <w:p w14:paraId="3FBED75F" w14:textId="77777777" w:rsidR="002F5198" w:rsidRDefault="002F5198" w:rsidP="002F5198">
      <w:pPr>
        <w:pStyle w:val="OutlineLevel5"/>
      </w:pPr>
      <w:r>
        <w:t>“any prepaid health service or capitation arrangement implemented or administered by the Department of Health and Human Services or its representatives, pursuant to 42 U.S.C. § 1396n or Chapter 108A of the General Statutes,</w:t>
      </w:r>
    </w:p>
    <w:p w14:paraId="175935ED" w14:textId="77777777" w:rsidR="00B95EEE" w:rsidRDefault="00B95EEE" w:rsidP="00B95EEE">
      <w:pPr>
        <w:pStyle w:val="OutlineLevel5"/>
        <w:numPr>
          <w:ilvl w:val="5"/>
          <w:numId w:val="3"/>
        </w:numPr>
      </w:pPr>
      <w:r>
        <w:t>[</w:t>
      </w:r>
      <w:r w:rsidRPr="00B95EEE">
        <w:rPr>
          <w:highlight w:val="yellow"/>
        </w:rPr>
        <w:t>Does this completely exempt Medicaid ACOs?</w:t>
      </w:r>
      <w:r>
        <w:t>]</w:t>
      </w:r>
    </w:p>
    <w:p w14:paraId="5476737A" w14:textId="77777777" w:rsidR="002F5198" w:rsidRDefault="002F5198" w:rsidP="002F5198">
      <w:pPr>
        <w:pStyle w:val="OutlineLevel5"/>
      </w:pPr>
      <w:r>
        <w:t>“a provider sponsored organization or other organization certified, qualified, or otherwise approved by the Division of Medical Assistance . . . pursuant to Article 17 of Chapter 131E of the General Statutes, or to</w:t>
      </w:r>
    </w:p>
    <w:p w14:paraId="5F38F9DE" w14:textId="77777777" w:rsidR="002F5198" w:rsidRDefault="002F5198" w:rsidP="002F5198">
      <w:pPr>
        <w:pStyle w:val="OutlineLevel5"/>
      </w:pPr>
      <w:r>
        <w:t>“any provider of health care services participating in such a prepaid health service or capitation arrangement.”</w:t>
      </w:r>
      <w:r>
        <w:rPr>
          <w:rStyle w:val="FootnoteReference"/>
        </w:rPr>
        <w:footnoteReference w:id="20"/>
      </w:r>
    </w:p>
    <w:p w14:paraId="27D69EBA" w14:textId="77777777" w:rsidR="00CB423A" w:rsidRPr="00876ABC" w:rsidRDefault="00CB423A" w:rsidP="00CB423A">
      <w:pPr>
        <w:pStyle w:val="OutlineLevel4"/>
      </w:pPr>
      <w:r>
        <w:rPr>
          <w:color w:val="000000"/>
        </w:rPr>
        <w:t>“[T]o the extent this Article applies to any such person acting as a subcontractor to a Health Maintenance Organization licensed in this State, that person shall be considered a single service Health Maintenance Organization.”</w:t>
      </w:r>
      <w:r>
        <w:rPr>
          <w:rStyle w:val="FootnoteReference"/>
          <w:color w:val="000000"/>
        </w:rPr>
        <w:footnoteReference w:id="21"/>
      </w:r>
    </w:p>
    <w:p w14:paraId="6F9420AE" w14:textId="77777777" w:rsidR="00876ABC" w:rsidRDefault="00876ABC" w:rsidP="00876ABC">
      <w:pPr>
        <w:pStyle w:val="OutlineLevel5"/>
      </w:pPr>
      <w:r>
        <w:t xml:space="preserve">Single service HMOs have lower </w:t>
      </w:r>
      <w:r w:rsidR="00190252">
        <w:t xml:space="preserve">liquidity and net-worth requirements. (minimum $100,000 startup capital; </w:t>
      </w:r>
      <w:r w:rsidR="00197413">
        <w:t>$50,000 ongoing capital; $25,000 cash deposit)</w:t>
      </w:r>
    </w:p>
    <w:p w14:paraId="20B6AE9F" w14:textId="18E184EE" w:rsidR="0005058A" w:rsidRDefault="00025BF0" w:rsidP="0005058A">
      <w:pPr>
        <w:pStyle w:val="OutlineLevel1"/>
      </w:pPr>
      <w:r>
        <w:t xml:space="preserve">Application </w:t>
      </w:r>
      <w:r w:rsidR="00C67764">
        <w:t>to ACOs</w:t>
      </w:r>
    </w:p>
    <w:p w14:paraId="1B55C389" w14:textId="77777777" w:rsidR="00FD4D6A" w:rsidRDefault="00FD4D6A" w:rsidP="00757CBF">
      <w:pPr>
        <w:pStyle w:val="OutlineLevel2"/>
      </w:pPr>
      <w:r>
        <w:t>Arguments that Insurance regulators will make:</w:t>
      </w:r>
    </w:p>
    <w:p w14:paraId="443B13F8" w14:textId="77777777" w:rsidR="00FD4D6A" w:rsidRDefault="00FD4D6A" w:rsidP="00FD4D6A">
      <w:pPr>
        <w:pStyle w:val="OutlineLevel3"/>
      </w:pPr>
      <w:r>
        <w:rPr>
          <w:b/>
        </w:rPr>
        <w:t xml:space="preserve">Statutory Presumption: </w:t>
      </w:r>
      <w:r>
        <w:t>Any entity that provides medical coverage in North Carolina, “whether the coverage is by direct payment, reimbursement, or otherwise, shall be presumed to be subject to the jurisdiction of the [Insurance] Commissioner.”</w:t>
      </w:r>
      <w:r>
        <w:rPr>
          <w:rStyle w:val="FootnoteReference"/>
        </w:rPr>
        <w:footnoteReference w:id="22"/>
      </w:r>
    </w:p>
    <w:p w14:paraId="2979E996" w14:textId="77777777" w:rsidR="00FD4D6A" w:rsidRDefault="00FD4D6A" w:rsidP="00FD4D6A">
      <w:pPr>
        <w:pStyle w:val="OutlineLevel3"/>
      </w:pPr>
      <w:r>
        <w:t>The fact that a contract for insurance risk has been bundled up with a contract for medical services does not make the insurance risk any less insurance risk.</w:t>
      </w:r>
    </w:p>
    <w:p w14:paraId="4502E6D3" w14:textId="77777777" w:rsidR="00FD4D6A" w:rsidRDefault="00194F69" w:rsidP="00FD4D6A">
      <w:pPr>
        <w:pStyle w:val="OutlineLevel3"/>
      </w:pPr>
      <w:r>
        <w:t>The “duck” test: if it looks like an HMO . . .</w:t>
      </w:r>
    </w:p>
    <w:p w14:paraId="1B5E037F" w14:textId="77777777" w:rsidR="00094133" w:rsidRDefault="00CB423A" w:rsidP="00E03F06">
      <w:pPr>
        <w:pStyle w:val="OutlineLevel2"/>
        <w:keepNext/>
      </w:pPr>
      <w:r>
        <w:t>Fee-for-Service</w:t>
      </w:r>
      <w:r w:rsidR="00027A05">
        <w:t xml:space="preserve"> Base with Shared Savings (e.g., Medicare Shared Savings ACOs)</w:t>
      </w:r>
    </w:p>
    <w:p w14:paraId="00B8E69F" w14:textId="77777777" w:rsidR="00ED4CBD" w:rsidRDefault="00ED4CBD" w:rsidP="00ED4CBD">
      <w:pPr>
        <w:pStyle w:val="OutlineLevel3"/>
      </w:pPr>
      <w:r>
        <w:t xml:space="preserve">Probably not </w:t>
      </w:r>
      <w:r w:rsidR="003E47E8">
        <w:t>i</w:t>
      </w:r>
      <w:r>
        <w:t>nsurance</w:t>
      </w:r>
      <w:r w:rsidR="003E47E8">
        <w:t>, because much closer to a classic contract for services than an insurance contract.</w:t>
      </w:r>
    </w:p>
    <w:p w14:paraId="5074202D" w14:textId="77777777" w:rsidR="00ED4CBD" w:rsidRDefault="00ED4CBD" w:rsidP="00ED4CBD">
      <w:pPr>
        <w:pStyle w:val="OutlineLevel3"/>
      </w:pPr>
      <w:r>
        <w:t>Probably not an HMO, because not prepaid.</w:t>
      </w:r>
    </w:p>
    <w:p w14:paraId="120343F4" w14:textId="77777777" w:rsidR="003E47E8" w:rsidRDefault="003E47E8" w:rsidP="003E47E8">
      <w:pPr>
        <w:pStyle w:val="OutlineLevel2"/>
      </w:pPr>
      <w:r>
        <w:lastRenderedPageBreak/>
        <w:t xml:space="preserve">Capitation Base with </w:t>
      </w:r>
      <w:r w:rsidR="00DE052C">
        <w:t>Risk Corridors</w:t>
      </w:r>
    </w:p>
    <w:p w14:paraId="2252B245" w14:textId="77777777" w:rsidR="00094A72" w:rsidRDefault="00A214F3" w:rsidP="00094A72">
      <w:pPr>
        <w:pStyle w:val="OutlineLevel3"/>
      </w:pPr>
      <w:r>
        <w:t>Probably not insurance under cases discussed above, but uncertain due to lack of NC-specific law on point.</w:t>
      </w:r>
      <w:r w:rsidR="005B390A">
        <w:t xml:space="preserve"> The more risk exposure, the more likely a court would find that risk-shifting is the “principal purpose.”</w:t>
      </w:r>
    </w:p>
    <w:p w14:paraId="598DD79B" w14:textId="77777777" w:rsidR="00094A72" w:rsidRDefault="00094A72" w:rsidP="00094A72">
      <w:pPr>
        <w:pStyle w:val="OutlineLevel3"/>
      </w:pPr>
      <w:r>
        <w:t>Probably an H</w:t>
      </w:r>
      <w:r w:rsidR="00DB3035">
        <w:t>MO, but remember exception for Medicaid, and loosened financial requirements for downstream contractors.</w:t>
      </w:r>
    </w:p>
    <w:p w14:paraId="31954DA5" w14:textId="77777777" w:rsidR="00DB3035" w:rsidRDefault="00DB3035" w:rsidP="00DB3035">
      <w:pPr>
        <w:pStyle w:val="OutlineLevel2"/>
      </w:pPr>
      <w:r>
        <w:t>Full Capitation</w:t>
      </w:r>
    </w:p>
    <w:p w14:paraId="47D081D7" w14:textId="77777777" w:rsidR="00DB3035" w:rsidRDefault="00DB3035" w:rsidP="00DB3035">
      <w:pPr>
        <w:pStyle w:val="OutlineLevel3"/>
      </w:pPr>
      <w:r>
        <w:t>Arguably not insurance under cases discussed above, but even more uncertain due to lack of NC-specific law on point.</w:t>
      </w:r>
    </w:p>
    <w:p w14:paraId="2511F936" w14:textId="77777777" w:rsidR="00DB3035" w:rsidRDefault="00DB3035" w:rsidP="00DB3035">
      <w:pPr>
        <w:pStyle w:val="OutlineLevel3"/>
      </w:pPr>
      <w:r>
        <w:t>Probably an HMO, but remember exception for Medicaid, and loosened financial requirements for downstream contractors.</w:t>
      </w:r>
    </w:p>
    <w:p w14:paraId="3D9259DE" w14:textId="77777777" w:rsidR="00520FA6" w:rsidRDefault="00520FA6" w:rsidP="00520FA6">
      <w:pPr>
        <w:pStyle w:val="OutlineLevel2"/>
      </w:pPr>
      <w:r>
        <w:t>Bottom Line:</w:t>
      </w:r>
    </w:p>
    <w:p w14:paraId="328E7DE7" w14:textId="77777777" w:rsidR="00520FA6" w:rsidRDefault="00520FA6" w:rsidP="00520FA6">
      <w:pPr>
        <w:pStyle w:val="OutlineLevel3"/>
      </w:pPr>
      <w:r>
        <w:t xml:space="preserve">If an ACO took on a capitated contract, and then the Insurance Commissioner sued it, claiming it was </w:t>
      </w:r>
      <w:r w:rsidR="00102BE2">
        <w:t>providing</w:t>
      </w:r>
      <w:r>
        <w:t xml:space="preserve"> insurance without a license, who would win? Current law </w:t>
      </w:r>
      <w:r w:rsidR="00102BE2">
        <w:t>leaves that as an open question</w:t>
      </w:r>
      <w:r>
        <w:t>.</w:t>
      </w:r>
    </w:p>
    <w:p w14:paraId="1F80E21C" w14:textId="77777777" w:rsidR="00520FA6" w:rsidRPr="00520FA6" w:rsidRDefault="00520FA6" w:rsidP="00520FA6">
      <w:pPr>
        <w:pStyle w:val="OutlineLevel3"/>
        <w:rPr>
          <w:b/>
        </w:rPr>
      </w:pPr>
      <w:r>
        <w:t xml:space="preserve"> </w:t>
      </w:r>
      <w:r w:rsidRPr="002B283E">
        <w:rPr>
          <w:b/>
        </w:rPr>
        <w:t>The provider community should seek legislation, as part of Medicaid reform or otherwise, that clarifies the regulatory implications of taking on downside risk.</w:t>
      </w:r>
    </w:p>
    <w:p w14:paraId="2E6F01D2" w14:textId="77777777" w:rsidR="00955DD7" w:rsidRDefault="00955DD7" w:rsidP="00955DD7">
      <w:pPr>
        <w:pStyle w:val="OutlineLevel2"/>
      </w:pPr>
      <w:r>
        <w:t>Aside: Insurance Risk vs. Performance Risk</w:t>
      </w:r>
    </w:p>
    <w:p w14:paraId="73A5B139" w14:textId="77777777" w:rsidR="00955DD7" w:rsidRDefault="00955DD7" w:rsidP="00955DD7">
      <w:pPr>
        <w:pStyle w:val="OutlineLevel3"/>
      </w:pPr>
      <w:r>
        <w:t>This distinction is not in the case law, but it is a useful concept, and shows up often in the ACO literature.</w:t>
      </w:r>
    </w:p>
    <w:p w14:paraId="368CD30A" w14:textId="77777777" w:rsidR="00955DD7" w:rsidRDefault="00955DD7" w:rsidP="00955DD7">
      <w:pPr>
        <w:pStyle w:val="OutlineLevel3"/>
      </w:pPr>
      <w:r>
        <w:t>In general, provider performance cannot influence the underlying prevalence of injury and disease in the population; e.g., the number of people who get cancer. This is “insurance risk.”</w:t>
      </w:r>
    </w:p>
    <w:p w14:paraId="5388FFDF" w14:textId="77777777" w:rsidR="00955DD7" w:rsidRDefault="00955DD7" w:rsidP="00955DD7">
      <w:pPr>
        <w:pStyle w:val="OutlineLevel4"/>
      </w:pPr>
      <w:r>
        <w:t>[Caveat about preventative care like smoking cessation]</w:t>
      </w:r>
    </w:p>
    <w:p w14:paraId="49CCF4AA" w14:textId="77777777" w:rsidR="00955DD7" w:rsidRDefault="00955DD7" w:rsidP="00955DD7">
      <w:pPr>
        <w:pStyle w:val="OutlineLevel3"/>
      </w:pPr>
      <w:r>
        <w:t xml:space="preserve">Provider performance </w:t>
      </w:r>
      <w:r>
        <w:rPr>
          <w:i/>
        </w:rPr>
        <w:t>can</w:t>
      </w:r>
      <w:r>
        <w:t xml:space="preserve"> influence the number of episodes of care for a given condition, and the quantity of services provided per episode. This is performance risk.</w:t>
      </w:r>
    </w:p>
    <w:p w14:paraId="42DFB7A0" w14:textId="6803C28A" w:rsidR="00746A9B" w:rsidRDefault="00746A9B" w:rsidP="00746A9B">
      <w:pPr>
        <w:pStyle w:val="OutlineLevel1"/>
      </w:pPr>
      <w:r>
        <w:t>Current Approaches in Medicare &amp; Other States</w:t>
      </w:r>
    </w:p>
    <w:p w14:paraId="1B9450B1" w14:textId="77777777" w:rsidR="0019250B" w:rsidRDefault="0019250B" w:rsidP="0019250B">
      <w:pPr>
        <w:pStyle w:val="OutlineLevel2"/>
      </w:pPr>
      <w:r>
        <w:t>Federal approaches</w:t>
      </w:r>
    </w:p>
    <w:p w14:paraId="23E8486E" w14:textId="77777777" w:rsidR="0019250B" w:rsidRPr="00C5000D" w:rsidRDefault="0019250B" w:rsidP="00015C16">
      <w:pPr>
        <w:pStyle w:val="OutlineLevel3"/>
        <w:rPr>
          <w:b/>
        </w:rPr>
      </w:pPr>
      <w:r w:rsidRPr="00C5000D">
        <w:rPr>
          <w:b/>
        </w:rPr>
        <w:t>Medicare Shared Savings Program</w:t>
      </w:r>
      <w:r w:rsidR="00C5000D">
        <w:rPr>
          <w:b/>
        </w:rPr>
        <w:t xml:space="preserve"> ACOs</w:t>
      </w:r>
    </w:p>
    <w:p w14:paraId="212F6B4B" w14:textId="77777777" w:rsidR="00A371DA" w:rsidRDefault="00A371DA" w:rsidP="00015C16">
      <w:pPr>
        <w:pStyle w:val="OutlineLevel4"/>
      </w:pPr>
      <w:r>
        <w:t>Nature of Downside Risk:</w:t>
      </w:r>
    </w:p>
    <w:p w14:paraId="3333F317" w14:textId="77777777" w:rsidR="00820907" w:rsidRDefault="00C779E4" w:rsidP="00820907">
      <w:pPr>
        <w:pStyle w:val="OutlineLevel5"/>
      </w:pPr>
      <w:r>
        <w:t>Under MSSP Track 2, i</w:t>
      </w:r>
      <w:r w:rsidR="00820907">
        <w:t xml:space="preserve">f ACO expenditures exceed </w:t>
      </w:r>
      <w:r>
        <w:t xml:space="preserve">the </w:t>
      </w:r>
      <w:r w:rsidR="00820907">
        <w:t>pre-set benchmark, AC</w:t>
      </w:r>
      <w:r>
        <w:t xml:space="preserve">O </w:t>
      </w:r>
      <w:r w:rsidR="00F340D1">
        <w:t>may</w:t>
      </w:r>
      <w:r>
        <w:t xml:space="preserve"> be</w:t>
      </w:r>
      <w:r w:rsidR="00D05732">
        <w:t xml:space="preserve"> required to pay up to 60</w:t>
      </w:r>
      <w:r>
        <w:t xml:space="preserve">% </w:t>
      </w:r>
      <w:r w:rsidR="00F340D1">
        <w:t xml:space="preserve">of </w:t>
      </w:r>
      <w:r w:rsidR="00D05732">
        <w:t>the difference between the benchmark and actual expenditures, capped at 10% of the total benchmark expenditures.</w:t>
      </w:r>
      <w:r w:rsidR="00D05732">
        <w:rPr>
          <w:rStyle w:val="FootnoteReference"/>
        </w:rPr>
        <w:footnoteReference w:id="23"/>
      </w:r>
    </w:p>
    <w:p w14:paraId="6B0180D6" w14:textId="77777777" w:rsidR="00C90638" w:rsidRDefault="00A371DA" w:rsidP="00015C16">
      <w:pPr>
        <w:pStyle w:val="OutlineLevel4"/>
      </w:pPr>
      <w:r>
        <w:t>Approach to State Insurance Regulation:</w:t>
      </w:r>
    </w:p>
    <w:p w14:paraId="33B87686" w14:textId="77777777" w:rsidR="006D043C" w:rsidRDefault="006D043C" w:rsidP="006D043C">
      <w:pPr>
        <w:pStyle w:val="OutlineLevel5"/>
      </w:pPr>
      <w:r>
        <w:lastRenderedPageBreak/>
        <w:t>CMS believes that it “will continue to bear the insurance risk associated with the care furnished to Medicare beneficiaries</w:t>
      </w:r>
      <w:r w:rsidR="00A968AF">
        <w:t>,” but noted that “ACOs desiring to participate in Track 2 should consult their State laws.”</w:t>
      </w:r>
      <w:r w:rsidR="003F57B1">
        <w:rPr>
          <w:rStyle w:val="FootnoteReference"/>
        </w:rPr>
        <w:footnoteReference w:id="24"/>
      </w:r>
    </w:p>
    <w:p w14:paraId="46A7B1FE" w14:textId="77777777" w:rsidR="00FD3800" w:rsidRDefault="00A371DA" w:rsidP="00FD3800">
      <w:pPr>
        <w:pStyle w:val="OutlineLevel4"/>
      </w:pPr>
      <w:r>
        <w:t>Financial Requirements:</w:t>
      </w:r>
    </w:p>
    <w:p w14:paraId="2A6449C5" w14:textId="77777777" w:rsidR="00454EC6" w:rsidRDefault="00FD3800" w:rsidP="00FD3800">
      <w:pPr>
        <w:pStyle w:val="OutlineLevel5"/>
      </w:pPr>
      <w:r>
        <w:t xml:space="preserve">“Repayment Mechanism” of </w:t>
      </w:r>
      <w:r w:rsidR="00861AAC">
        <w:t>at least 1 percent of the ACO’s total per capita Medicare Parts A and B fee-for-service expenditures for its assigned beneficiaries.”</w:t>
      </w:r>
      <w:r w:rsidR="00861AAC">
        <w:rPr>
          <w:rStyle w:val="FootnoteReference"/>
        </w:rPr>
        <w:footnoteReference w:id="25"/>
      </w:r>
    </w:p>
    <w:p w14:paraId="646EE501" w14:textId="77777777" w:rsidR="005C2652" w:rsidRDefault="00861AAC" w:rsidP="005C2652">
      <w:pPr>
        <w:pStyle w:val="OutlineLevel5"/>
      </w:pPr>
      <w:r>
        <w:t>Can use escrow funds, surety bond, or letter of credit.</w:t>
      </w:r>
      <w:r>
        <w:rPr>
          <w:rStyle w:val="FootnoteReference"/>
        </w:rPr>
        <w:footnoteReference w:id="26"/>
      </w:r>
    </w:p>
    <w:p w14:paraId="0D543A6C" w14:textId="77777777" w:rsidR="007D31C5" w:rsidRPr="007D31C5" w:rsidRDefault="007D31C5" w:rsidP="007D31C5">
      <w:pPr>
        <w:pStyle w:val="OutlineLevel3"/>
      </w:pPr>
      <w:r>
        <w:rPr>
          <w:b/>
        </w:rPr>
        <w:t>Medicare Pioneer ACOs</w:t>
      </w:r>
    </w:p>
    <w:p w14:paraId="7351F9A7" w14:textId="77777777" w:rsidR="007D31C5" w:rsidRDefault="007D31C5" w:rsidP="007D31C5">
      <w:pPr>
        <w:pStyle w:val="OutlineLevel4"/>
      </w:pPr>
      <w:r>
        <w:t>Nature of Downside Risk:</w:t>
      </w:r>
      <w:r w:rsidR="00C45001">
        <w:t xml:space="preserve"> variable, but up to full capitation.</w:t>
      </w:r>
    </w:p>
    <w:p w14:paraId="2AE37341" w14:textId="77777777" w:rsidR="007D31C5" w:rsidRDefault="007D31C5" w:rsidP="007D31C5">
      <w:pPr>
        <w:pStyle w:val="OutlineLevel4"/>
      </w:pPr>
      <w:r>
        <w:t>Approach to State Insurance Regulation:</w:t>
      </w:r>
    </w:p>
    <w:p w14:paraId="72C95A8E" w14:textId="77777777" w:rsidR="007D31C5" w:rsidRDefault="007D31C5" w:rsidP="007D31C5">
      <w:pPr>
        <w:pStyle w:val="OutlineLevel5"/>
      </w:pPr>
      <w:r>
        <w:t>“Applications must include either an attestation that the organization has been licensed by the state in which it is located as a risk-bearing entity, or that it is exempt from such licensure or other related licensure requirements.”</w:t>
      </w:r>
      <w:r>
        <w:rPr>
          <w:rStyle w:val="FootnoteReference"/>
        </w:rPr>
        <w:footnoteReference w:id="27"/>
      </w:r>
    </w:p>
    <w:p w14:paraId="31A3E08A" w14:textId="77777777" w:rsidR="003B64BB" w:rsidRDefault="003B64BB" w:rsidP="003B64BB">
      <w:pPr>
        <w:pStyle w:val="OutlineLevel4"/>
      </w:pPr>
      <w:r>
        <w:t>Financial Requirements:</w:t>
      </w:r>
    </w:p>
    <w:p w14:paraId="76E9D7C9" w14:textId="77777777" w:rsidR="00E643CB" w:rsidRDefault="003B64BB" w:rsidP="003B64BB">
      <w:pPr>
        <w:pStyle w:val="OutlineLevel5"/>
      </w:pPr>
      <w:r>
        <w:t>Must provide “enforceable assurances</w:t>
      </w:r>
      <w:r w:rsidR="00E643CB">
        <w:t>” that the ACO</w:t>
      </w:r>
      <w:r>
        <w:t xml:space="preserve"> </w:t>
      </w:r>
      <w:r w:rsidR="00E643CB">
        <w:t>“</w:t>
      </w:r>
      <w:r>
        <w:t>can reimburse Medicare for all potential losses.</w:t>
      </w:r>
      <w:r w:rsidR="00E643CB">
        <w:t>”</w:t>
      </w:r>
    </w:p>
    <w:p w14:paraId="04082911" w14:textId="77777777" w:rsidR="003B64BB" w:rsidRPr="005C2652" w:rsidRDefault="00E643CB" w:rsidP="003B64BB">
      <w:pPr>
        <w:pStyle w:val="OutlineLevel5"/>
      </w:pPr>
      <w:r>
        <w:t>Can be an irrevocable letter of credit or “any similarly enforceable mechanism.”</w:t>
      </w:r>
      <w:r w:rsidR="003B64BB">
        <w:t xml:space="preserve"> </w:t>
      </w:r>
      <w:r w:rsidR="00C00C18">
        <w:rPr>
          <w:rStyle w:val="FootnoteReference"/>
        </w:rPr>
        <w:footnoteReference w:id="28"/>
      </w:r>
    </w:p>
    <w:p w14:paraId="481C2C25" w14:textId="77777777" w:rsidR="005C2652" w:rsidRDefault="005C2652" w:rsidP="00015C16">
      <w:pPr>
        <w:pStyle w:val="OutlineLevel3"/>
        <w:rPr>
          <w:b/>
        </w:rPr>
      </w:pPr>
      <w:r>
        <w:rPr>
          <w:b/>
        </w:rPr>
        <w:t>Medicare Advantage Physician Incentive Plans</w:t>
      </w:r>
    </w:p>
    <w:p w14:paraId="7BD65F67" w14:textId="77777777" w:rsidR="005C2652" w:rsidRDefault="005C2652" w:rsidP="005C2652">
      <w:pPr>
        <w:pStyle w:val="OutlineLevel4"/>
      </w:pPr>
      <w:r>
        <w:t>Nature of Downside Risk:</w:t>
      </w:r>
    </w:p>
    <w:p w14:paraId="6A16FC0F" w14:textId="77777777" w:rsidR="005C2652" w:rsidRDefault="005C2652" w:rsidP="005C2652">
      <w:pPr>
        <w:pStyle w:val="OutlineLevel5"/>
      </w:pPr>
      <w:r>
        <w:t xml:space="preserve">MA contracts with HMO; HMO </w:t>
      </w:r>
      <w:r w:rsidR="005C3C9C">
        <w:t>in turn contracts with a provider group in a manner that places the provider group at “substantial financial risk”</w:t>
      </w:r>
      <w:r w:rsidR="000E01C9">
        <w:t xml:space="preserve"> </w:t>
      </w:r>
      <w:r w:rsidR="008B3DA2">
        <w:t>(defined as the potential to have to spend more than 125% of total payments)</w:t>
      </w:r>
      <w:r w:rsidR="00500FDD">
        <w:rPr>
          <w:rStyle w:val="FootnoteReference"/>
        </w:rPr>
        <w:footnoteReference w:id="29"/>
      </w:r>
    </w:p>
    <w:p w14:paraId="0ED0BF37" w14:textId="77777777" w:rsidR="00A77E9D" w:rsidRDefault="00A77E9D" w:rsidP="005C2652">
      <w:pPr>
        <w:pStyle w:val="OutlineLevel5"/>
      </w:pPr>
      <w:r>
        <w:t>Key: downstream from licensed HMO; no direct contract with Medicare</w:t>
      </w:r>
    </w:p>
    <w:p w14:paraId="79446CCE" w14:textId="77777777" w:rsidR="000E01C9" w:rsidRDefault="000E01C9" w:rsidP="000E01C9">
      <w:pPr>
        <w:pStyle w:val="OutlineLevel4"/>
      </w:pPr>
      <w:r>
        <w:t>Approach to State Insurance Regulation: Does not address</w:t>
      </w:r>
    </w:p>
    <w:p w14:paraId="510F1425" w14:textId="77777777" w:rsidR="000E01C9" w:rsidRDefault="00012C0C" w:rsidP="000E01C9">
      <w:pPr>
        <w:pStyle w:val="OutlineLevel4"/>
      </w:pPr>
      <w:r>
        <w:t>Financial Requirements:</w:t>
      </w:r>
    </w:p>
    <w:p w14:paraId="4A84AC47" w14:textId="77777777" w:rsidR="00012C0C" w:rsidRDefault="00012C0C" w:rsidP="00012C0C">
      <w:pPr>
        <w:pStyle w:val="OutlineLevel5"/>
      </w:pPr>
      <w:r>
        <w:rPr>
          <w:u w:val="single"/>
        </w:rPr>
        <w:lastRenderedPageBreak/>
        <w:t>Stop Loss</w:t>
      </w:r>
      <w:r w:rsidR="002F44D1">
        <w:t xml:space="preserve">: 90 percent of the costs above </w:t>
      </w:r>
      <w:r w:rsidR="008B3DA2">
        <w:t>125% of total payments (or similar per-patient stop-loss coverage)</w:t>
      </w:r>
      <w:r w:rsidR="007653ED">
        <w:rPr>
          <w:rStyle w:val="FootnoteReference"/>
        </w:rPr>
        <w:footnoteReference w:id="30"/>
      </w:r>
    </w:p>
    <w:p w14:paraId="5ED1FBA7" w14:textId="77777777" w:rsidR="00C90638" w:rsidRDefault="00C90638" w:rsidP="00015C16">
      <w:pPr>
        <w:pStyle w:val="OutlineLevel3"/>
        <w:rPr>
          <w:b/>
        </w:rPr>
      </w:pPr>
      <w:r w:rsidRPr="00C5000D">
        <w:rPr>
          <w:b/>
        </w:rPr>
        <w:t>Medicare Advantage PSOs</w:t>
      </w:r>
    </w:p>
    <w:p w14:paraId="38B02A08" w14:textId="77777777" w:rsidR="00DA1BAA" w:rsidRDefault="00DA1BAA" w:rsidP="00DA1BAA">
      <w:pPr>
        <w:pStyle w:val="OutlineLevel4"/>
      </w:pPr>
      <w:r>
        <w:t>Nature of Downside Risk:</w:t>
      </w:r>
    </w:p>
    <w:p w14:paraId="5949521E" w14:textId="77777777" w:rsidR="00861AAC" w:rsidRDefault="00760732" w:rsidP="00861AAC">
      <w:pPr>
        <w:pStyle w:val="OutlineLevel5"/>
      </w:pPr>
      <w:r>
        <w:t xml:space="preserve">CMS pays fixed fee to </w:t>
      </w:r>
      <w:r w:rsidR="00AE5F98">
        <w:t>PSO; PSO agrees to provide</w:t>
      </w:r>
      <w:r w:rsidR="00C14B09">
        <w:t xml:space="preserve"> at least</w:t>
      </w:r>
      <w:r w:rsidR="00AE5F98">
        <w:t xml:space="preserve"> </w:t>
      </w:r>
      <w:r w:rsidR="00C14B09">
        <w:t>all services covered by Medicare.</w:t>
      </w:r>
      <w:r w:rsidR="001726C1">
        <w:rPr>
          <w:rStyle w:val="FootnoteReference"/>
        </w:rPr>
        <w:footnoteReference w:id="31"/>
      </w:r>
    </w:p>
    <w:p w14:paraId="6CE0213D" w14:textId="77777777" w:rsidR="00DA1BAA" w:rsidRDefault="00DA1BAA" w:rsidP="00DA1BAA">
      <w:pPr>
        <w:pStyle w:val="OutlineLevel4"/>
      </w:pPr>
      <w:r>
        <w:t>Approach to State Insurance Regulation:</w:t>
      </w:r>
    </w:p>
    <w:p w14:paraId="6D6800EB" w14:textId="77777777" w:rsidR="00C86926" w:rsidRDefault="00C86926" w:rsidP="00C86926">
      <w:pPr>
        <w:pStyle w:val="OutlineLevel5"/>
      </w:pPr>
      <w:r>
        <w:t xml:space="preserve">Federal </w:t>
      </w:r>
      <w:r w:rsidR="00FF6FA1">
        <w:t>regs set out financial-responsibility requirements for PSOs; any state requirements more stringent than the federal ones are preempted.</w:t>
      </w:r>
      <w:r w:rsidR="00FF6FA1">
        <w:rPr>
          <w:rStyle w:val="FootnoteReference"/>
        </w:rPr>
        <w:footnoteReference w:id="32"/>
      </w:r>
      <w:r>
        <w:t xml:space="preserve"> </w:t>
      </w:r>
    </w:p>
    <w:p w14:paraId="49F8169B" w14:textId="77777777" w:rsidR="00D652A3" w:rsidRDefault="00D652A3" w:rsidP="00C86926">
      <w:pPr>
        <w:pStyle w:val="OutlineLevel5"/>
      </w:pPr>
      <w:r>
        <w:t xml:space="preserve">North Carolina enacted a state-specific statute, in which it preempted </w:t>
      </w:r>
      <w:r w:rsidR="00F77932">
        <w:t>regulation by the Insurance Department</w:t>
      </w:r>
      <w:r>
        <w:t>,</w:t>
      </w:r>
      <w:r w:rsidR="00F77932">
        <w:t xml:space="preserve"> provided that PSOs were to be regulated by the Division of Medical Assistance instead,</w:t>
      </w:r>
      <w:r>
        <w:t xml:space="preserve"> and set out </w:t>
      </w:r>
      <w:r w:rsidR="006B5CDF">
        <w:t>alternate requirements consistent with the federal PSO regs.</w:t>
      </w:r>
      <w:r w:rsidR="003602E6">
        <w:rPr>
          <w:rStyle w:val="FootnoteReference"/>
        </w:rPr>
        <w:footnoteReference w:id="33"/>
      </w:r>
    </w:p>
    <w:p w14:paraId="4D880D0D" w14:textId="77777777" w:rsidR="00E70C27" w:rsidRDefault="00DA1BAA" w:rsidP="00E70C27">
      <w:pPr>
        <w:pStyle w:val="OutlineLevel4"/>
      </w:pPr>
      <w:r>
        <w:t>Financial Requirements:</w:t>
      </w:r>
    </w:p>
    <w:p w14:paraId="77699645" w14:textId="77777777" w:rsidR="0067526C" w:rsidRDefault="0067526C" w:rsidP="0067526C">
      <w:pPr>
        <w:pStyle w:val="OutlineLevel5"/>
      </w:pPr>
      <w:r>
        <w:rPr>
          <w:u w:val="single"/>
        </w:rPr>
        <w:t>Minimum Net Worth</w:t>
      </w:r>
      <w:r>
        <w:t xml:space="preserve">: </w:t>
      </w:r>
    </w:p>
    <w:p w14:paraId="28B6BA25" w14:textId="77777777" w:rsidR="00006AB8" w:rsidRDefault="00006AB8" w:rsidP="00006AB8">
      <w:pPr>
        <w:pStyle w:val="OutlineLevel5"/>
        <w:numPr>
          <w:ilvl w:val="5"/>
          <w:numId w:val="3"/>
        </w:numPr>
      </w:pPr>
      <w:r>
        <w:rPr>
          <w:i/>
        </w:rPr>
        <w:t xml:space="preserve">At Startup: </w:t>
      </w:r>
      <w:r>
        <w:t>$1.5 million (potentially lower for PSOs</w:t>
      </w:r>
      <w:r w:rsidR="003C3146">
        <w:t xml:space="preserve"> with administrative infrastructure already in place, or PSOs</w:t>
      </w:r>
      <w:r>
        <w:t xml:space="preserve"> operating in rural areas)</w:t>
      </w:r>
      <w:r>
        <w:rPr>
          <w:rStyle w:val="FootnoteReference"/>
        </w:rPr>
        <w:footnoteReference w:id="34"/>
      </w:r>
    </w:p>
    <w:p w14:paraId="050FF8A2" w14:textId="77777777" w:rsidR="00006AB8" w:rsidRDefault="00006AB8" w:rsidP="00006AB8">
      <w:pPr>
        <w:pStyle w:val="OutlineLevel5"/>
        <w:numPr>
          <w:ilvl w:val="5"/>
          <w:numId w:val="3"/>
        </w:numPr>
      </w:pPr>
      <w:r>
        <w:rPr>
          <w:i/>
        </w:rPr>
        <w:t>Ongoing:</w:t>
      </w:r>
      <w:r w:rsidR="00FE0D67">
        <w:t xml:space="preserve"> </w:t>
      </w:r>
      <w:r w:rsidR="00FF3A99">
        <w:t>At least $1 million; potentially more depending on size of PSO.</w:t>
      </w:r>
      <w:r w:rsidR="00FF3A99">
        <w:rPr>
          <w:rStyle w:val="FootnoteReference"/>
        </w:rPr>
        <w:footnoteReference w:id="35"/>
      </w:r>
    </w:p>
    <w:p w14:paraId="50C21480" w14:textId="77777777" w:rsidR="0067526C" w:rsidRDefault="0067526C" w:rsidP="0067526C">
      <w:pPr>
        <w:pStyle w:val="OutlineLevel5"/>
      </w:pPr>
      <w:r>
        <w:rPr>
          <w:u w:val="single"/>
        </w:rPr>
        <w:t>Liquidity</w:t>
      </w:r>
      <w:r w:rsidRPr="0067526C">
        <w:t>:</w:t>
      </w:r>
      <w:r>
        <w:t xml:space="preserve"> </w:t>
      </w:r>
    </w:p>
    <w:p w14:paraId="40994E70" w14:textId="77777777" w:rsidR="003C3146" w:rsidRDefault="003C3146" w:rsidP="003C3146">
      <w:pPr>
        <w:pStyle w:val="OutlineLevel5"/>
        <w:numPr>
          <w:ilvl w:val="5"/>
          <w:numId w:val="3"/>
        </w:numPr>
      </w:pPr>
      <w:r>
        <w:rPr>
          <w:i/>
        </w:rPr>
        <w:t>At Startup:</w:t>
      </w:r>
      <w:r>
        <w:t xml:space="preserve"> </w:t>
      </w:r>
      <w:r w:rsidR="00FE0D67">
        <w:t>$750,000 cash or cash equivalent</w:t>
      </w:r>
      <w:r w:rsidR="00FE0D67">
        <w:rPr>
          <w:rStyle w:val="FootnoteReference"/>
        </w:rPr>
        <w:footnoteReference w:id="36"/>
      </w:r>
    </w:p>
    <w:p w14:paraId="5462F3A8" w14:textId="77777777" w:rsidR="00121E9F" w:rsidRPr="00C5000D" w:rsidRDefault="00121E9F" w:rsidP="003C3146">
      <w:pPr>
        <w:pStyle w:val="OutlineLevel5"/>
        <w:numPr>
          <w:ilvl w:val="5"/>
          <w:numId w:val="3"/>
        </w:numPr>
      </w:pPr>
      <w:r>
        <w:rPr>
          <w:i/>
        </w:rPr>
        <w:t xml:space="preserve">Ongoing: </w:t>
      </w:r>
      <w:r w:rsidR="00B72BEE">
        <w:t>“Sufficient cash flow to meet its obligations as they</w:t>
      </w:r>
      <w:r w:rsidR="008B464B">
        <w:t xml:space="preserve"> become due.”</w:t>
      </w:r>
      <w:r w:rsidR="008B464B">
        <w:rPr>
          <w:rStyle w:val="FootnoteReference"/>
        </w:rPr>
        <w:footnoteReference w:id="37"/>
      </w:r>
    </w:p>
    <w:p w14:paraId="732A4D1E" w14:textId="77777777" w:rsidR="0019250B" w:rsidRDefault="0019250B" w:rsidP="0019250B">
      <w:pPr>
        <w:pStyle w:val="OutlineLevel2"/>
      </w:pPr>
      <w:r>
        <w:t>Other States</w:t>
      </w:r>
    </w:p>
    <w:p w14:paraId="38DD76FA" w14:textId="77777777" w:rsidR="0019250B" w:rsidRDefault="0019250B" w:rsidP="00015C16">
      <w:pPr>
        <w:pStyle w:val="OutlineLevel3"/>
        <w:rPr>
          <w:b/>
        </w:rPr>
      </w:pPr>
      <w:r w:rsidRPr="006E1A72">
        <w:rPr>
          <w:b/>
        </w:rPr>
        <w:t>Massachusetts</w:t>
      </w:r>
      <w:r w:rsidR="00A72E35">
        <w:rPr>
          <w:b/>
        </w:rPr>
        <w:t xml:space="preserve"> “Risk Bearing Provider Organizations” (“RBPOs”)</w:t>
      </w:r>
      <w:r w:rsidR="0077573E">
        <w:rPr>
          <w:b/>
        </w:rPr>
        <w:t xml:space="preserve"> (Public and Commercial)</w:t>
      </w:r>
    </w:p>
    <w:p w14:paraId="232A310F" w14:textId="77777777" w:rsidR="00DA1BAA" w:rsidRDefault="00DA1BAA" w:rsidP="00DA1BAA">
      <w:pPr>
        <w:pStyle w:val="OutlineLevel4"/>
      </w:pPr>
      <w:r>
        <w:t>Nature of Downside Risk:</w:t>
      </w:r>
    </w:p>
    <w:p w14:paraId="24A8D6EE" w14:textId="77777777" w:rsidR="00A72E35" w:rsidRDefault="00596ACA" w:rsidP="00A72E35">
      <w:pPr>
        <w:pStyle w:val="OutlineLevel5"/>
      </w:pPr>
      <w:r>
        <w:lastRenderedPageBreak/>
        <w:t>Any provider organization that bears downside risk pursuant to a non-FFS contract is an RBPO.</w:t>
      </w:r>
      <w:r>
        <w:rPr>
          <w:rStyle w:val="FootnoteReference"/>
        </w:rPr>
        <w:footnoteReference w:id="38"/>
      </w:r>
    </w:p>
    <w:p w14:paraId="7C4A3110" w14:textId="77777777" w:rsidR="00FC60B8" w:rsidRDefault="00FC60B8" w:rsidP="00A72E35">
      <w:pPr>
        <w:pStyle w:val="OutlineLevel5"/>
      </w:pPr>
      <w:r>
        <w:t>Regulatory requirements can be waived, however, if the downside risk isn’t “significant,” in the opinion of the Insurance Commissioner.</w:t>
      </w:r>
      <w:r w:rsidR="007510A2">
        <w:rPr>
          <w:rStyle w:val="FootnoteReference"/>
        </w:rPr>
        <w:footnoteReference w:id="39"/>
      </w:r>
    </w:p>
    <w:p w14:paraId="45493364" w14:textId="77777777" w:rsidR="00DA1BAA" w:rsidRDefault="00DA1BAA" w:rsidP="00DA1BAA">
      <w:pPr>
        <w:pStyle w:val="OutlineLevel4"/>
      </w:pPr>
      <w:r>
        <w:t>Approach to State Insurance Regulation:</w:t>
      </w:r>
    </w:p>
    <w:p w14:paraId="2445517B" w14:textId="77777777" w:rsidR="00053396" w:rsidRDefault="00053396" w:rsidP="00053396">
      <w:pPr>
        <w:pStyle w:val="OutlineLevel5"/>
      </w:pPr>
      <w:r>
        <w:t>RBPOs are exempt from regulation as insurance companies or HMOs.</w:t>
      </w:r>
      <w:r w:rsidR="00460E9E">
        <w:rPr>
          <w:rStyle w:val="FootnoteReference"/>
        </w:rPr>
        <w:footnoteReference w:id="40"/>
      </w:r>
    </w:p>
    <w:p w14:paraId="1253A079" w14:textId="77777777" w:rsidR="00053396" w:rsidRDefault="00053396" w:rsidP="00053396">
      <w:pPr>
        <w:pStyle w:val="OutlineLevel5"/>
      </w:pPr>
      <w:r>
        <w:t>Instead, they must obtain a “risk certificate”</w:t>
      </w:r>
      <w:r w:rsidR="00460E9E">
        <w:t xml:space="preserve"> (or a “risk certificate waiver,” if </w:t>
      </w:r>
      <w:r w:rsidR="00C24CAB">
        <w:t>the downside risk isn’t “significant”</w:t>
      </w:r>
      <w:r w:rsidR="00460E9E">
        <w:t>)</w:t>
      </w:r>
      <w:r w:rsidR="00460E9E">
        <w:rPr>
          <w:rStyle w:val="FootnoteReference"/>
        </w:rPr>
        <w:footnoteReference w:id="41"/>
      </w:r>
    </w:p>
    <w:p w14:paraId="2D3FEBB2" w14:textId="77777777" w:rsidR="00DA1BAA" w:rsidRDefault="00DA1BAA" w:rsidP="00DA1BAA">
      <w:pPr>
        <w:pStyle w:val="OutlineLevel4"/>
      </w:pPr>
      <w:r>
        <w:t>Financial Requirements:</w:t>
      </w:r>
    </w:p>
    <w:p w14:paraId="0841C5D0" w14:textId="77777777" w:rsidR="006924EC" w:rsidRPr="00DA1BAA" w:rsidRDefault="006924EC" w:rsidP="006924EC">
      <w:pPr>
        <w:pStyle w:val="OutlineLevel5"/>
      </w:pPr>
      <w:r>
        <w:t>An actuarial certification that the RBPO’s payment contracts “are not expected to threaten the [RBPO’s] financial solvency.”</w:t>
      </w:r>
      <w:r>
        <w:rPr>
          <w:rStyle w:val="FootnoteReference"/>
        </w:rPr>
        <w:footnoteReference w:id="42"/>
      </w:r>
    </w:p>
    <w:p w14:paraId="5E4E6E3D" w14:textId="77777777" w:rsidR="0019250B" w:rsidRDefault="0019250B" w:rsidP="00015C16">
      <w:pPr>
        <w:pStyle w:val="OutlineLevel3"/>
        <w:rPr>
          <w:b/>
        </w:rPr>
      </w:pPr>
      <w:r w:rsidRPr="006E1A72">
        <w:rPr>
          <w:b/>
        </w:rPr>
        <w:t>Illinois</w:t>
      </w:r>
      <w:r w:rsidR="004E1BD6">
        <w:rPr>
          <w:b/>
        </w:rPr>
        <w:t xml:space="preserve"> “Accountable Care Entities”</w:t>
      </w:r>
      <w:r w:rsidR="0077573E">
        <w:rPr>
          <w:b/>
        </w:rPr>
        <w:t xml:space="preserve"> (Medicaid)</w:t>
      </w:r>
    </w:p>
    <w:p w14:paraId="01E8046A" w14:textId="77777777" w:rsidR="004E1BD6" w:rsidRDefault="00DA1BAA" w:rsidP="004E1BD6">
      <w:pPr>
        <w:pStyle w:val="OutlineLevel4"/>
      </w:pPr>
      <w:r>
        <w:t>Nature of Downside Risk:</w:t>
      </w:r>
      <w:r w:rsidR="004E1BD6">
        <w:t xml:space="preserve"> 3-Phase Program</w:t>
      </w:r>
      <w:r w:rsidR="00D43AA2">
        <w:rPr>
          <w:rStyle w:val="FootnoteReference"/>
        </w:rPr>
        <w:footnoteReference w:id="43"/>
      </w:r>
    </w:p>
    <w:p w14:paraId="3CFDF95A" w14:textId="77777777" w:rsidR="004E1BD6" w:rsidRDefault="004E1BD6" w:rsidP="004E1BD6">
      <w:pPr>
        <w:pStyle w:val="OutlineLevel5"/>
      </w:pPr>
      <w:r>
        <w:t xml:space="preserve">Phase 1: Fee-for-service payment, plus supplemental </w:t>
      </w:r>
      <w:r w:rsidR="00C14A43">
        <w:t xml:space="preserve">$9 </w:t>
      </w:r>
      <w:r>
        <w:t>per-member per-month care-coordination fee, plus potential shared savings.</w:t>
      </w:r>
      <w:r w:rsidR="00C14A43">
        <w:rPr>
          <w:rStyle w:val="FootnoteReference"/>
        </w:rPr>
        <w:footnoteReference w:id="44"/>
      </w:r>
      <w:r>
        <w:t xml:space="preserve"> (Months 1–18.)</w:t>
      </w:r>
    </w:p>
    <w:p w14:paraId="7653B6EE" w14:textId="77777777" w:rsidR="004E1BD6" w:rsidRDefault="004E1BD6" w:rsidP="004E1BD6">
      <w:pPr>
        <w:pStyle w:val="OutlineLevel5"/>
      </w:pPr>
      <w:r>
        <w:t xml:space="preserve">Phase </w:t>
      </w:r>
      <w:r w:rsidR="0077573E">
        <w:t>2: Prepaid capitation, but state retains a portion of the risk through stop-loss insurance and risk corridors.</w:t>
      </w:r>
      <w:r w:rsidR="006C18D6">
        <w:rPr>
          <w:rStyle w:val="FootnoteReference"/>
        </w:rPr>
        <w:footnoteReference w:id="45"/>
      </w:r>
      <w:r w:rsidR="0077573E">
        <w:t xml:space="preserve"> (Months 19–36.)</w:t>
      </w:r>
    </w:p>
    <w:p w14:paraId="049DB303" w14:textId="77777777" w:rsidR="0077573E" w:rsidRDefault="0077573E" w:rsidP="0077573E">
      <w:pPr>
        <w:pStyle w:val="OutlineLevel5"/>
        <w:numPr>
          <w:ilvl w:val="5"/>
          <w:numId w:val="3"/>
        </w:numPr>
      </w:pPr>
      <w:r>
        <w:t xml:space="preserve">Stop-Loss: </w:t>
      </w:r>
      <w:r w:rsidR="005443DA">
        <w:t>state will cover 80% of expenditures above $80,000 for any particular enrollee</w:t>
      </w:r>
    </w:p>
    <w:p w14:paraId="30E938F5" w14:textId="77777777" w:rsidR="005443DA" w:rsidRDefault="005443DA" w:rsidP="0077573E">
      <w:pPr>
        <w:pStyle w:val="OutlineLevel5"/>
        <w:numPr>
          <w:ilvl w:val="5"/>
          <w:numId w:val="3"/>
        </w:numPr>
      </w:pPr>
      <w:r>
        <w:t>Risk Corridors: state will cover 80% of any costs above a 110% medical loss ratio.</w:t>
      </w:r>
    </w:p>
    <w:p w14:paraId="7E3AD1B0" w14:textId="77777777" w:rsidR="005443DA" w:rsidRDefault="005443DA" w:rsidP="005443DA">
      <w:pPr>
        <w:pStyle w:val="OutlineLevel5"/>
      </w:pPr>
      <w:r>
        <w:t>Phase 3: Full capitation, without stop-loss or risk corridors.</w:t>
      </w:r>
      <w:r w:rsidR="00C14A43">
        <w:rPr>
          <w:rStyle w:val="FootnoteReference"/>
        </w:rPr>
        <w:footnoteReference w:id="46"/>
      </w:r>
      <w:r>
        <w:t xml:space="preserve"> (After 36 months.)</w:t>
      </w:r>
      <w:r w:rsidR="00C8414C">
        <w:t xml:space="preserve">. </w:t>
      </w:r>
    </w:p>
    <w:p w14:paraId="318B401A" w14:textId="77777777" w:rsidR="00C8414C" w:rsidRDefault="00C8414C" w:rsidP="005443DA">
      <w:pPr>
        <w:pStyle w:val="OutlineLevel5"/>
      </w:pPr>
      <w:r>
        <w:t>After conversion to full capitation, ACEs become “</w:t>
      </w:r>
      <w:r w:rsidR="003436E5">
        <w:t>managed care community networks</w:t>
      </w:r>
      <w:r>
        <w:t>”</w:t>
      </w:r>
      <w:r w:rsidR="003436E5">
        <w:t xml:space="preserve"> (“MCCNs”</w:t>
      </w:r>
      <w:r w:rsidR="00D43AA2">
        <w:t>), which are separately regulated.</w:t>
      </w:r>
    </w:p>
    <w:p w14:paraId="46270654" w14:textId="77777777" w:rsidR="0023591F" w:rsidRDefault="00DA1BAA" w:rsidP="00840CE8">
      <w:pPr>
        <w:pStyle w:val="OutlineLevel4"/>
      </w:pPr>
      <w:r>
        <w:t>Approach to State Insurance Regulation:</w:t>
      </w:r>
      <w:r w:rsidR="00840CE8">
        <w:t xml:space="preserve"> </w:t>
      </w:r>
    </w:p>
    <w:p w14:paraId="622A9908" w14:textId="77777777" w:rsidR="002738A8" w:rsidRDefault="002738A8" w:rsidP="002738A8">
      <w:pPr>
        <w:pStyle w:val="OutlineLevel5"/>
      </w:pPr>
      <w:r>
        <w:t>Intent appears to have been to wait until Phase 3 (conversion to MCCN) to regulate</w:t>
      </w:r>
      <w:r w:rsidR="00D43AA2">
        <w:t xml:space="preserve"> risk</w:t>
      </w:r>
      <w:r>
        <w:t>.</w:t>
      </w:r>
    </w:p>
    <w:p w14:paraId="173DC3EA" w14:textId="77777777" w:rsidR="002738A8" w:rsidRDefault="002738A8" w:rsidP="002738A8">
      <w:pPr>
        <w:pStyle w:val="OutlineLevel5"/>
      </w:pPr>
      <w:r>
        <w:t xml:space="preserve">But in </w:t>
      </w:r>
      <w:r w:rsidR="001672D8">
        <w:t>the contract solicitation, the State said that “[b]</w:t>
      </w:r>
      <w:proofErr w:type="spellStart"/>
      <w:r w:rsidR="001672D8">
        <w:t>ased</w:t>
      </w:r>
      <w:proofErr w:type="spellEnd"/>
      <w:r w:rsidR="001672D8">
        <w:t xml:space="preserve"> on current Illinois law</w:t>
      </w:r>
      <w:r w:rsidR="00D807CD">
        <w:t>,” Phase 2 structure “requires an ACE to be a MCCN or HMO by month 19.”</w:t>
      </w:r>
    </w:p>
    <w:p w14:paraId="3791B316" w14:textId="77777777" w:rsidR="00DA1BAA" w:rsidRDefault="00DA1BAA" w:rsidP="00DA1BAA">
      <w:pPr>
        <w:pStyle w:val="OutlineLevel4"/>
      </w:pPr>
      <w:r>
        <w:t>Financial Requirements:</w:t>
      </w:r>
    </w:p>
    <w:p w14:paraId="6B902CFB" w14:textId="77777777" w:rsidR="00840CE8" w:rsidRDefault="00840CE8" w:rsidP="00840CE8">
      <w:pPr>
        <w:pStyle w:val="OutlineLevel5"/>
      </w:pPr>
      <w:r>
        <w:t>During Phase 1, none (because no downside risk).</w:t>
      </w:r>
    </w:p>
    <w:p w14:paraId="151A78CC" w14:textId="77777777" w:rsidR="00840CE8" w:rsidRDefault="00D807CD" w:rsidP="00840CE8">
      <w:pPr>
        <w:pStyle w:val="OutlineLevel5"/>
      </w:pPr>
      <w:r>
        <w:t xml:space="preserve">Starting in Phase 2, the MCCN requirements apply. </w:t>
      </w:r>
      <w:r w:rsidR="003B1178">
        <w:t>Under the latest proposed amendment to those rules, the financial requirements are</w:t>
      </w:r>
    </w:p>
    <w:p w14:paraId="3398D4E5" w14:textId="77777777" w:rsidR="003B1178" w:rsidRDefault="003B1178" w:rsidP="003B1178">
      <w:pPr>
        <w:pStyle w:val="OutlineLevel5"/>
        <w:numPr>
          <w:ilvl w:val="5"/>
          <w:numId w:val="3"/>
        </w:numPr>
      </w:pPr>
      <w:r>
        <w:t>$500,000 net worth before certification</w:t>
      </w:r>
    </w:p>
    <w:p w14:paraId="092C242B" w14:textId="77777777" w:rsidR="003B1178" w:rsidRDefault="003B1178" w:rsidP="003B1178">
      <w:pPr>
        <w:pStyle w:val="OutlineLevel5"/>
        <w:numPr>
          <w:ilvl w:val="5"/>
          <w:numId w:val="3"/>
        </w:numPr>
      </w:pPr>
      <w:r>
        <w:t>After certification, $500,000 net worth, but potentially more based on amount of risk</w:t>
      </w:r>
    </w:p>
    <w:p w14:paraId="7D744A54" w14:textId="77777777" w:rsidR="009728A9" w:rsidRPr="00DA1BAA" w:rsidRDefault="009728A9" w:rsidP="003B1178">
      <w:pPr>
        <w:pStyle w:val="OutlineLevel5"/>
        <w:numPr>
          <w:ilvl w:val="5"/>
          <w:numId w:val="3"/>
        </w:numPr>
      </w:pPr>
      <w:r>
        <w:t>At least $250,000 of that net worth in case or cash equivalents.</w:t>
      </w:r>
      <w:r>
        <w:rPr>
          <w:rStyle w:val="FootnoteReference"/>
        </w:rPr>
        <w:footnoteReference w:id="47"/>
      </w:r>
    </w:p>
    <w:p w14:paraId="5FDB937D" w14:textId="2CAEE5A9" w:rsidR="0046722C" w:rsidRDefault="0046722C" w:rsidP="0046722C">
      <w:pPr>
        <w:pStyle w:val="OutlineLevel1"/>
      </w:pPr>
      <w:r>
        <w:t>What is Feasible in North Carolina?</w:t>
      </w:r>
    </w:p>
    <w:p w14:paraId="16418405" w14:textId="6F64802A" w:rsidR="00305BDB" w:rsidRPr="0046722C" w:rsidRDefault="00305BDB" w:rsidP="00305BDB">
      <w:pPr>
        <w:pStyle w:val="OutlineLevel2"/>
      </w:pPr>
      <w:r>
        <w:t>What are the Options?</w:t>
      </w:r>
    </w:p>
    <w:p w14:paraId="18090CAD" w14:textId="77777777" w:rsidR="0046722C" w:rsidRPr="001F55AC" w:rsidRDefault="0046722C" w:rsidP="0046722C">
      <w:pPr>
        <w:pStyle w:val="OutlineLevel3"/>
        <w:keepNext/>
      </w:pPr>
      <w:r>
        <w:rPr>
          <w:b/>
        </w:rPr>
        <w:t>Options to Avoid:</w:t>
      </w:r>
    </w:p>
    <w:p w14:paraId="2E37FB6D" w14:textId="77777777" w:rsidR="0046722C" w:rsidRDefault="0046722C" w:rsidP="0046722C">
      <w:pPr>
        <w:pStyle w:val="OutlineLevel4"/>
      </w:pPr>
      <w:r>
        <w:t>Don’t address the issue; leave it to the courts to figure out whether ACOs are taking on insurance risk.</w:t>
      </w:r>
    </w:p>
    <w:p w14:paraId="34B54F61" w14:textId="77777777" w:rsidR="0046722C" w:rsidRDefault="0046722C" w:rsidP="0046722C">
      <w:pPr>
        <w:pStyle w:val="OutlineLevel5"/>
      </w:pPr>
      <w:r>
        <w:t>Unpredictable and all-or-nothing</w:t>
      </w:r>
    </w:p>
    <w:p w14:paraId="2AB2FA5B" w14:textId="77777777" w:rsidR="0046722C" w:rsidRDefault="0046722C" w:rsidP="0046722C">
      <w:pPr>
        <w:pStyle w:val="OutlineLevel4"/>
      </w:pPr>
      <w:r>
        <w:t>Rules that don’t’ recognize the wide variance in exposure to risk among different ACOs and different contracts.</w:t>
      </w:r>
    </w:p>
    <w:p w14:paraId="2F3B3ECA" w14:textId="77777777" w:rsidR="0046722C" w:rsidRPr="002D5AAD" w:rsidRDefault="0046722C" w:rsidP="0046722C">
      <w:pPr>
        <w:pStyle w:val="OutlineLevel3"/>
      </w:pPr>
      <w:r>
        <w:rPr>
          <w:b/>
        </w:rPr>
        <w:t>Options to Think About:</w:t>
      </w:r>
    </w:p>
    <w:p w14:paraId="0EE49B09" w14:textId="77777777" w:rsidR="0046722C" w:rsidRDefault="0046722C" w:rsidP="0046722C">
      <w:pPr>
        <w:pStyle w:val="OutlineLevel4"/>
      </w:pPr>
      <w:r>
        <w:t>Stay with fee-for-service + shared savings &amp; losses; safely avoid insurance/HMO regulation</w:t>
      </w:r>
    </w:p>
    <w:p w14:paraId="731C5EF7" w14:textId="77777777" w:rsidR="0046722C" w:rsidRDefault="0046722C" w:rsidP="0046722C">
      <w:pPr>
        <w:pStyle w:val="OutlineLevel5"/>
      </w:pPr>
      <w:r>
        <w:t>Example: Current MSSP Program</w:t>
      </w:r>
    </w:p>
    <w:p w14:paraId="22741A80" w14:textId="77777777" w:rsidR="0046722C" w:rsidRDefault="0046722C" w:rsidP="0046722C">
      <w:pPr>
        <w:pStyle w:val="OutlineLevel4"/>
      </w:pPr>
      <w:r>
        <w:t>Preempt insurance regulations; set out alternate substantive financial requirements tied to level of risk; whether the ACO is downstream of a licensed insurer</w:t>
      </w:r>
    </w:p>
    <w:p w14:paraId="5B296236" w14:textId="77777777" w:rsidR="0046722C" w:rsidRDefault="0046722C" w:rsidP="0046722C">
      <w:pPr>
        <w:pStyle w:val="OutlineLevel5"/>
      </w:pPr>
      <w:r>
        <w:t>Lots of ways to do this:</w:t>
      </w:r>
    </w:p>
    <w:p w14:paraId="5DA996EB" w14:textId="77777777" w:rsidR="0046722C" w:rsidRDefault="0046722C" w:rsidP="0046722C">
      <w:pPr>
        <w:pStyle w:val="OutlineLevel5"/>
        <w:numPr>
          <w:ilvl w:val="5"/>
          <w:numId w:val="3"/>
        </w:numPr>
      </w:pPr>
      <w:r>
        <w:t>Shared-savings withholds?</w:t>
      </w:r>
    </w:p>
    <w:p w14:paraId="4E0FA563" w14:textId="77777777" w:rsidR="0046722C" w:rsidRDefault="0046722C" w:rsidP="0046722C">
      <w:pPr>
        <w:pStyle w:val="OutlineLevel5"/>
        <w:numPr>
          <w:ilvl w:val="5"/>
          <w:numId w:val="3"/>
        </w:numPr>
      </w:pPr>
      <w:r>
        <w:t>Stop-Loss?</w:t>
      </w:r>
    </w:p>
    <w:p w14:paraId="4948B602" w14:textId="77777777" w:rsidR="0046722C" w:rsidRDefault="0046722C" w:rsidP="0046722C">
      <w:pPr>
        <w:pStyle w:val="OutlineLevel5"/>
        <w:numPr>
          <w:ilvl w:val="5"/>
          <w:numId w:val="3"/>
        </w:numPr>
      </w:pPr>
      <w:r>
        <w:t>“Enforceable assurances” (i.e., letters of credit)?</w:t>
      </w:r>
    </w:p>
    <w:p w14:paraId="057B4BEA" w14:textId="77777777" w:rsidR="0046722C" w:rsidRDefault="0046722C" w:rsidP="0046722C">
      <w:pPr>
        <w:pStyle w:val="OutlineLevel5"/>
        <w:numPr>
          <w:ilvl w:val="5"/>
          <w:numId w:val="3"/>
        </w:numPr>
      </w:pPr>
      <w:r>
        <w:t>Manageable capital requirements?</w:t>
      </w:r>
    </w:p>
    <w:p w14:paraId="661BF3AC" w14:textId="77777777" w:rsidR="0046722C" w:rsidRDefault="0046722C" w:rsidP="0046722C">
      <w:pPr>
        <w:pStyle w:val="OutlineLevel5"/>
        <w:numPr>
          <w:ilvl w:val="5"/>
          <w:numId w:val="3"/>
        </w:numPr>
      </w:pPr>
      <w:r>
        <w:t>Note: these can be used in combination, or one can transition into the other (e.g., use shared-savings withholds to establish capital reserves during transition period to full risk).</w:t>
      </w:r>
    </w:p>
    <w:p w14:paraId="595FF901" w14:textId="4D782C1F" w:rsidR="0046722C" w:rsidRDefault="00305BDB" w:rsidP="0046722C">
      <w:pPr>
        <w:pStyle w:val="OutlineLevel5"/>
      </w:pPr>
      <w:r>
        <w:t>Examples: Illinois</w:t>
      </w:r>
    </w:p>
    <w:p w14:paraId="51E08E4D" w14:textId="77777777" w:rsidR="0046722C" w:rsidRDefault="0046722C" w:rsidP="0046722C">
      <w:pPr>
        <w:pStyle w:val="OutlineLevel4"/>
      </w:pPr>
      <w:r>
        <w:t>Punt to actuaries</w:t>
      </w:r>
    </w:p>
    <w:p w14:paraId="7D95AE62" w14:textId="29DAA0BC" w:rsidR="00305BDB" w:rsidRDefault="0046722C" w:rsidP="00305BDB">
      <w:pPr>
        <w:pStyle w:val="OutlineLevel5"/>
      </w:pPr>
      <w:r>
        <w:t>Example: Massachusetts requirement that risk-bearing provider organizations obtain an actuarial certification that their contracts do not threaten their solvency.</w:t>
      </w:r>
    </w:p>
    <w:p w14:paraId="43552696" w14:textId="38F2167D" w:rsidR="00305BDB" w:rsidRDefault="00305BDB" w:rsidP="00305BDB">
      <w:pPr>
        <w:pStyle w:val="OutlineLevel2"/>
      </w:pPr>
      <w:r>
        <w:t>What are the limitations?</w:t>
      </w:r>
    </w:p>
    <w:p w14:paraId="25FB68D9" w14:textId="2193D1C2" w:rsidR="00305BDB" w:rsidRDefault="00305BDB" w:rsidP="00305BDB">
      <w:pPr>
        <w:pStyle w:val="OutlineLevel3"/>
      </w:pPr>
      <w:r>
        <w:t>What is the legislature willing to enact?</w:t>
      </w:r>
    </w:p>
    <w:p w14:paraId="6977520E" w14:textId="1B98D990" w:rsidR="00305BDB" w:rsidRPr="00746A9B" w:rsidRDefault="00305BDB" w:rsidP="00305BDB">
      <w:pPr>
        <w:pStyle w:val="OutlineLevel3"/>
      </w:pPr>
      <w:r>
        <w:t>What is the Department able to administer?</w:t>
      </w:r>
    </w:p>
    <w:sectPr w:rsidR="00305BDB" w:rsidRPr="00746A9B" w:rsidSect="00F158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F282C" w14:textId="77777777" w:rsidR="0048467B" w:rsidRDefault="0048467B" w:rsidP="00954E33">
      <w:r>
        <w:separator/>
      </w:r>
    </w:p>
  </w:endnote>
  <w:endnote w:type="continuationSeparator" w:id="0">
    <w:p w14:paraId="53AB8701" w14:textId="77777777" w:rsidR="0048467B" w:rsidRDefault="0048467B" w:rsidP="0095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718D" w14:textId="77777777" w:rsidR="00650582" w:rsidRDefault="006505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303850"/>
      <w:docPartObj>
        <w:docPartGallery w:val="Page Numbers (Bottom of Page)"/>
        <w:docPartUnique/>
      </w:docPartObj>
    </w:sdtPr>
    <w:sdtEndPr>
      <w:rPr>
        <w:noProof/>
      </w:rPr>
    </w:sdtEndPr>
    <w:sdtContent>
      <w:p w14:paraId="554A0068" w14:textId="470FACCB" w:rsidR="00580E40" w:rsidRDefault="00580E40">
        <w:pPr>
          <w:pStyle w:val="Footer"/>
          <w:jc w:val="center"/>
        </w:pPr>
        <w:r>
          <w:fldChar w:fldCharType="begin"/>
        </w:r>
        <w:r>
          <w:instrText xml:space="preserve"> PAGE   \* MERGEFORMAT </w:instrText>
        </w:r>
        <w:r>
          <w:fldChar w:fldCharType="separate"/>
        </w:r>
        <w:r w:rsidR="00650582">
          <w:rPr>
            <w:noProof/>
          </w:rPr>
          <w:t>8</w:t>
        </w:r>
        <w:r>
          <w:rPr>
            <w:noProof/>
          </w:rPr>
          <w:fldChar w:fldCharType="end"/>
        </w:r>
      </w:p>
    </w:sdtContent>
  </w:sdt>
  <w:p w14:paraId="24FD3FDA" w14:textId="77777777" w:rsidR="00580E40" w:rsidRDefault="00580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720A6" w14:textId="77777777" w:rsidR="00650582" w:rsidRDefault="00650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B1580" w14:textId="77777777" w:rsidR="0048467B" w:rsidRDefault="0048467B" w:rsidP="00954E33">
      <w:r>
        <w:separator/>
      </w:r>
    </w:p>
  </w:footnote>
  <w:footnote w:type="continuationSeparator" w:id="0">
    <w:p w14:paraId="4B2DEE81" w14:textId="77777777" w:rsidR="0048467B" w:rsidRDefault="0048467B" w:rsidP="00954E33">
      <w:r>
        <w:continuationSeparator/>
      </w:r>
    </w:p>
  </w:footnote>
  <w:footnote w:id="1">
    <w:p w14:paraId="1ED2DEFF" w14:textId="77777777" w:rsidR="00C67764" w:rsidRDefault="00C67764" w:rsidP="00C67764">
      <w:pPr>
        <w:pStyle w:val="OutlineFootnotes"/>
      </w:pPr>
      <w:r>
        <w:rPr>
          <w:rStyle w:val="FootnoteReference"/>
        </w:rPr>
        <w:footnoteRef/>
      </w:r>
      <w:r>
        <w:t xml:space="preserve"> </w:t>
      </w:r>
      <w:hyperlink r:id="rId1" w:history="1">
        <w:r w:rsidRPr="00706009">
          <w:rPr>
            <w:rStyle w:val="Hyperlink"/>
          </w:rPr>
          <w:t>HB 1181, House-Passed Version</w:t>
        </w:r>
      </w:hyperlink>
      <w:r>
        <w:t>.</w:t>
      </w:r>
    </w:p>
  </w:footnote>
  <w:footnote w:id="2">
    <w:p w14:paraId="1AC1930A" w14:textId="77777777" w:rsidR="00C67764" w:rsidRDefault="00C67764" w:rsidP="00C67764">
      <w:pPr>
        <w:pStyle w:val="OutlineFootnotes"/>
      </w:pPr>
      <w:r>
        <w:rPr>
          <w:rStyle w:val="FootnoteReference"/>
        </w:rPr>
        <w:footnoteRef/>
      </w:r>
      <w:r>
        <w:t xml:space="preserve"> </w:t>
      </w:r>
      <w:hyperlink r:id="rId2" w:history="1">
        <w:r w:rsidRPr="00706009">
          <w:rPr>
            <w:rStyle w:val="Hyperlink"/>
          </w:rPr>
          <w:t>HB 1181, Senate-Passed Version</w:t>
        </w:r>
      </w:hyperlink>
      <w:r>
        <w:t>.</w:t>
      </w:r>
    </w:p>
  </w:footnote>
  <w:footnote w:id="3">
    <w:p w14:paraId="1BFD393D" w14:textId="77777777" w:rsidR="0048467B" w:rsidRPr="003E4049" w:rsidRDefault="0048467B" w:rsidP="006C18D6">
      <w:pPr>
        <w:pStyle w:val="OutlineFootnotes"/>
      </w:pPr>
      <w:r w:rsidRPr="003E4049">
        <w:rPr>
          <w:rStyle w:val="FootnoteReference"/>
        </w:rPr>
        <w:footnoteRef/>
      </w:r>
      <w:r w:rsidRPr="003E4049">
        <w:t xml:space="preserve"> </w:t>
      </w:r>
      <w:hyperlink r:id="rId3" w:history="1">
        <w:r w:rsidRPr="003E4049">
          <w:rPr>
            <w:rStyle w:val="Hyperlink"/>
          </w:rPr>
          <w:t>N.C. Gen. Stat. § 58-1-10</w:t>
        </w:r>
      </w:hyperlink>
      <w:r w:rsidRPr="003E4049">
        <w:t>.</w:t>
      </w:r>
    </w:p>
  </w:footnote>
  <w:footnote w:id="4">
    <w:p w14:paraId="5C89AB81" w14:textId="77777777" w:rsidR="0048467B" w:rsidRPr="003E4049" w:rsidRDefault="0048467B" w:rsidP="006C18D6">
      <w:pPr>
        <w:pStyle w:val="OutlineFootnotes"/>
      </w:pPr>
      <w:r w:rsidRPr="003E4049">
        <w:rPr>
          <w:rStyle w:val="FootnoteReference"/>
        </w:rPr>
        <w:footnoteRef/>
      </w:r>
      <w:r w:rsidRPr="003E4049">
        <w:t xml:space="preserve"> </w:t>
      </w:r>
      <w:r w:rsidRPr="003E4049">
        <w:rPr>
          <w:i/>
        </w:rPr>
        <w:t>Henry Angelo &amp; Sons, Inc. v. Prop. Dev. Grp.</w:t>
      </w:r>
      <w:r w:rsidRPr="003E4049">
        <w:t xml:space="preserve">, 63 N.C. App. 569, 574 (1983) (alteration omitted) (quoting </w:t>
      </w:r>
      <w:r w:rsidRPr="003E4049">
        <w:rPr>
          <w:i/>
        </w:rPr>
        <w:t>Black’s Law Dictionary</w:t>
      </w:r>
      <w:r w:rsidRPr="003E4049">
        <w:t xml:space="preserve"> 943 (rev. 4th ed. 1968)); </w:t>
      </w:r>
      <w:r w:rsidRPr="003E4049">
        <w:rPr>
          <w:i/>
        </w:rPr>
        <w:t>Gibbs v. Mayo</w:t>
      </w:r>
      <w:r w:rsidRPr="003E4049">
        <w:t>, 162 N.C. App. 549, 566 (2004) (same quote).</w:t>
      </w:r>
    </w:p>
  </w:footnote>
  <w:footnote w:id="5">
    <w:p w14:paraId="2885659B" w14:textId="77777777" w:rsidR="0048467B" w:rsidRPr="003E4049" w:rsidRDefault="0048467B" w:rsidP="006C18D6">
      <w:pPr>
        <w:pStyle w:val="OutlineFootnotes"/>
      </w:pPr>
      <w:r w:rsidRPr="003E4049">
        <w:rPr>
          <w:rStyle w:val="FootnoteReference"/>
        </w:rPr>
        <w:footnoteRef/>
      </w:r>
      <w:r w:rsidRPr="003E4049">
        <w:t xml:space="preserve"> </w:t>
      </w:r>
      <w:proofErr w:type="spellStart"/>
      <w:r w:rsidRPr="003E4049">
        <w:rPr>
          <w:i/>
        </w:rPr>
        <w:t>Blackwelder</w:t>
      </w:r>
      <w:proofErr w:type="spellEnd"/>
      <w:r w:rsidRPr="003E4049">
        <w:rPr>
          <w:i/>
        </w:rPr>
        <w:t xml:space="preserve"> v. City of Winston-Salem</w:t>
      </w:r>
      <w:r w:rsidRPr="003E4049">
        <w:t>, 332 N.C. 319, 322 (1992).</w:t>
      </w:r>
    </w:p>
  </w:footnote>
  <w:footnote w:id="6">
    <w:p w14:paraId="2097BACF" w14:textId="77777777" w:rsidR="0048467B" w:rsidRPr="006E6695" w:rsidRDefault="0048467B" w:rsidP="0066287A">
      <w:pPr>
        <w:pStyle w:val="OutlineFootnotes"/>
      </w:pPr>
      <w:r>
        <w:rPr>
          <w:rStyle w:val="FootnoteReference"/>
        </w:rPr>
        <w:footnoteRef/>
      </w:r>
      <w:r>
        <w:t xml:space="preserve"> </w:t>
      </w:r>
      <w:r>
        <w:rPr>
          <w:i/>
        </w:rPr>
        <w:t>German Alliance Ins. Co. v. Lewis</w:t>
      </w:r>
      <w:r>
        <w:t>, 233 U.S. 389, 412–13 (1914).</w:t>
      </w:r>
    </w:p>
  </w:footnote>
  <w:footnote w:id="7">
    <w:p w14:paraId="77E66652" w14:textId="77777777" w:rsidR="0048467B" w:rsidRPr="00B13470" w:rsidRDefault="0048467B" w:rsidP="0066287A">
      <w:pPr>
        <w:pStyle w:val="OutlineFootnotes"/>
      </w:pPr>
      <w:r>
        <w:rPr>
          <w:rStyle w:val="FootnoteReference"/>
        </w:rPr>
        <w:footnoteRef/>
      </w:r>
      <w:r>
        <w:t xml:space="preserve"> </w:t>
      </w:r>
      <w:r>
        <w:rPr>
          <w:i/>
        </w:rPr>
        <w:t>State ex rel. Hunt v. N.C. Reinsurance Facility</w:t>
      </w:r>
      <w:r>
        <w:t>, 302 N.C. 274, 297 (1981).</w:t>
      </w:r>
    </w:p>
  </w:footnote>
  <w:footnote w:id="8">
    <w:p w14:paraId="5CF050CC" w14:textId="77777777" w:rsidR="0048467B" w:rsidRPr="0012349B" w:rsidRDefault="0048467B" w:rsidP="0012349B">
      <w:pPr>
        <w:pStyle w:val="OutlineFootnotes"/>
      </w:pPr>
      <w:r>
        <w:rPr>
          <w:rStyle w:val="FootnoteReference"/>
        </w:rPr>
        <w:footnoteRef/>
      </w:r>
      <w:r>
        <w:t xml:space="preserve"> </w:t>
      </w:r>
      <w:r>
        <w:rPr>
          <w:i/>
        </w:rPr>
        <w:t>See, e.g.</w:t>
      </w:r>
      <w:r>
        <w:t xml:space="preserve">, </w:t>
      </w:r>
      <w:r>
        <w:rPr>
          <w:i/>
        </w:rPr>
        <w:t xml:space="preserve">Jordan v. Grp. Health </w:t>
      </w:r>
      <w:proofErr w:type="spellStart"/>
      <w:r>
        <w:rPr>
          <w:i/>
        </w:rPr>
        <w:t>Ass’n</w:t>
      </w:r>
      <w:proofErr w:type="spellEnd"/>
      <w:r>
        <w:t>, 107 F.2d 239, 248 (D.C. Cir. 1939); Cal. Physicians’ Serv. v. Garrison, 28 Cal.2d 790, 809 (1946) (</w:t>
      </w:r>
      <w:proofErr w:type="spellStart"/>
      <w:r>
        <w:t>en</w:t>
      </w:r>
      <w:proofErr w:type="spellEnd"/>
      <w:r>
        <w:t xml:space="preserve"> banc).</w:t>
      </w:r>
    </w:p>
  </w:footnote>
  <w:footnote w:id="9">
    <w:p w14:paraId="0A588970" w14:textId="77777777" w:rsidR="0048467B" w:rsidRPr="002D7B04" w:rsidRDefault="0048467B" w:rsidP="00C364E7">
      <w:pPr>
        <w:pStyle w:val="OutlineFootnotes"/>
      </w:pPr>
      <w:r>
        <w:rPr>
          <w:rStyle w:val="FootnoteReference"/>
        </w:rPr>
        <w:footnoteRef/>
      </w:r>
      <w:r>
        <w:t xml:space="preserve"> </w:t>
      </w:r>
      <w:r>
        <w:rPr>
          <w:i/>
        </w:rPr>
        <w:t xml:space="preserve">Transp. Guar. Co. v. </w:t>
      </w:r>
      <w:proofErr w:type="spellStart"/>
      <w:r>
        <w:rPr>
          <w:i/>
        </w:rPr>
        <w:t>Jellins</w:t>
      </w:r>
      <w:proofErr w:type="spellEnd"/>
      <w:r>
        <w:t>, 29 Cal.2d 242 (1946) (</w:t>
      </w:r>
      <w:proofErr w:type="spellStart"/>
      <w:r>
        <w:t>en</w:t>
      </w:r>
      <w:proofErr w:type="spellEnd"/>
      <w:r>
        <w:t xml:space="preserve"> banc).</w:t>
      </w:r>
    </w:p>
  </w:footnote>
  <w:footnote w:id="10">
    <w:p w14:paraId="019D53AD" w14:textId="77777777" w:rsidR="0048467B" w:rsidRPr="003B4116" w:rsidRDefault="0048467B" w:rsidP="00C364E7">
      <w:pPr>
        <w:pStyle w:val="OutlineFootnotes"/>
      </w:pPr>
      <w:r>
        <w:rPr>
          <w:rStyle w:val="FootnoteReference"/>
        </w:rPr>
        <w:footnoteRef/>
      </w:r>
      <w:r>
        <w:t xml:space="preserve"> </w:t>
      </w:r>
      <w:r>
        <w:rPr>
          <w:i/>
        </w:rPr>
        <w:t>McMullan v. Enter. Fin. Grp., Inc.</w:t>
      </w:r>
      <w:r>
        <w:t xml:space="preserve">, 247 P.3d 1173 (Okla. 2011); </w:t>
      </w:r>
      <w:r>
        <w:rPr>
          <w:i/>
        </w:rPr>
        <w:t>Jim Click Ford, Inc. v. City of Tucson</w:t>
      </w:r>
      <w:r>
        <w:t>, 154 Ariz. 48 (Ariz. Ct. App. 1987).</w:t>
      </w:r>
    </w:p>
  </w:footnote>
  <w:footnote w:id="11">
    <w:p w14:paraId="0B9FB9FD" w14:textId="77777777" w:rsidR="0048467B" w:rsidRPr="008850CF" w:rsidRDefault="0048467B" w:rsidP="00BB49DA">
      <w:pPr>
        <w:pStyle w:val="OutlineFootnotes"/>
      </w:pPr>
      <w:r>
        <w:rPr>
          <w:rStyle w:val="FootnoteReference"/>
        </w:rPr>
        <w:footnoteRef/>
      </w:r>
      <w:r>
        <w:t xml:space="preserve"> </w:t>
      </w:r>
      <w:r w:rsidRPr="00744A3B">
        <w:rPr>
          <w:i/>
        </w:rPr>
        <w:t xml:space="preserve">Jordan v. Grp. Health </w:t>
      </w:r>
      <w:proofErr w:type="spellStart"/>
      <w:r w:rsidRPr="00744A3B">
        <w:rPr>
          <w:i/>
        </w:rPr>
        <w:t>Ass’n</w:t>
      </w:r>
      <w:proofErr w:type="spellEnd"/>
      <w:r>
        <w:t>, 107 F.3d 239 (1939).</w:t>
      </w:r>
    </w:p>
  </w:footnote>
  <w:footnote w:id="12">
    <w:p w14:paraId="09AEE3D9" w14:textId="77777777" w:rsidR="0048467B" w:rsidRPr="004158BB" w:rsidRDefault="0048467B" w:rsidP="00BB49DA">
      <w:pPr>
        <w:pStyle w:val="OutlineFootnotes"/>
      </w:pPr>
      <w:r>
        <w:rPr>
          <w:rStyle w:val="FootnoteReference"/>
        </w:rPr>
        <w:footnoteRef/>
      </w:r>
      <w:r>
        <w:t xml:space="preserve"> </w:t>
      </w:r>
      <w:r>
        <w:rPr>
          <w:i/>
        </w:rPr>
        <w:t xml:space="preserve">Id. </w:t>
      </w:r>
      <w:r>
        <w:t>at 247.</w:t>
      </w:r>
    </w:p>
  </w:footnote>
  <w:footnote w:id="13">
    <w:p w14:paraId="1567BF02" w14:textId="77777777" w:rsidR="0048467B" w:rsidRPr="00874A54" w:rsidRDefault="0048467B" w:rsidP="00BB49DA">
      <w:pPr>
        <w:pStyle w:val="OutlineFootnotes"/>
      </w:pPr>
      <w:r>
        <w:rPr>
          <w:rStyle w:val="FootnoteReference"/>
        </w:rPr>
        <w:footnoteRef/>
      </w:r>
      <w:r>
        <w:t xml:space="preserve"> </w:t>
      </w:r>
      <w:r>
        <w:rPr>
          <w:i/>
        </w:rPr>
        <w:t>Id.</w:t>
      </w:r>
    </w:p>
  </w:footnote>
  <w:footnote w:id="14">
    <w:p w14:paraId="48177047" w14:textId="77777777" w:rsidR="0048467B" w:rsidRPr="00FD7AD6" w:rsidRDefault="0048467B" w:rsidP="004E74A6">
      <w:pPr>
        <w:pStyle w:val="OutlineFootnotes"/>
      </w:pPr>
      <w:r>
        <w:rPr>
          <w:rStyle w:val="FootnoteReference"/>
        </w:rPr>
        <w:footnoteRef/>
      </w:r>
      <w:r>
        <w:t xml:space="preserve"> </w:t>
      </w:r>
      <w:hyperlink r:id="rId4" w:history="1">
        <w:r w:rsidRPr="00F15DEC">
          <w:rPr>
            <w:rStyle w:val="Hyperlink"/>
          </w:rPr>
          <w:t>NCDOJ, Advisory Opinion: Durham County Hospital Corp—Contracting with Self-Insured Employee Benefit Plans and Health Care Providers (1996)</w:t>
        </w:r>
      </w:hyperlink>
      <w:r>
        <w:rPr>
          <w:rStyle w:val="Hyperlink"/>
          <w:u w:val="none"/>
        </w:rPr>
        <w:t>.</w:t>
      </w:r>
    </w:p>
  </w:footnote>
  <w:footnote w:id="15">
    <w:p w14:paraId="463B2CFF" w14:textId="77777777" w:rsidR="0048467B" w:rsidRPr="003E4049" w:rsidRDefault="0048467B" w:rsidP="00CA4354">
      <w:pPr>
        <w:pStyle w:val="OutlineFootnotes"/>
      </w:pPr>
      <w:r w:rsidRPr="003E4049">
        <w:rPr>
          <w:rStyle w:val="FootnoteReference"/>
        </w:rPr>
        <w:footnoteRef/>
      </w:r>
      <w:r w:rsidRPr="003E4049">
        <w:t xml:space="preserve"> </w:t>
      </w:r>
      <w:hyperlink r:id="rId5" w:history="1">
        <w:r w:rsidRPr="003E4049">
          <w:rPr>
            <w:rStyle w:val="Hyperlink"/>
          </w:rPr>
          <w:t>N.C. Gen. Stat. § 58-67-5</w:t>
        </w:r>
      </w:hyperlink>
      <w:r w:rsidRPr="003E4049">
        <w:t>(f).</w:t>
      </w:r>
    </w:p>
  </w:footnote>
  <w:footnote w:id="16">
    <w:p w14:paraId="673A02A8" w14:textId="77777777" w:rsidR="0048467B" w:rsidRDefault="0048467B" w:rsidP="00B514E0">
      <w:pPr>
        <w:pStyle w:val="OutlineFootnotes"/>
      </w:pPr>
      <w:r>
        <w:rPr>
          <w:rStyle w:val="FootnoteReference"/>
        </w:rPr>
        <w:footnoteRef/>
      </w:r>
      <w:r>
        <w:t xml:space="preserve"> </w:t>
      </w:r>
      <w:r>
        <w:rPr>
          <w:i/>
        </w:rPr>
        <w:t xml:space="preserve">N.M. Life Ins. Guar. </w:t>
      </w:r>
      <w:proofErr w:type="spellStart"/>
      <w:r>
        <w:rPr>
          <w:i/>
        </w:rPr>
        <w:t>Ass’n</w:t>
      </w:r>
      <w:proofErr w:type="spellEnd"/>
      <w:r>
        <w:rPr>
          <w:i/>
        </w:rPr>
        <w:t xml:space="preserve"> v. Moore</w:t>
      </w:r>
      <w:r>
        <w:t>, 93 N.M. 47 (1979).</w:t>
      </w:r>
    </w:p>
  </w:footnote>
  <w:footnote w:id="17">
    <w:p w14:paraId="3784E6EF" w14:textId="77777777" w:rsidR="0048467B" w:rsidRPr="003E4049" w:rsidRDefault="0048467B" w:rsidP="002F5198">
      <w:pPr>
        <w:pStyle w:val="OutlineFootnotes"/>
      </w:pPr>
      <w:r w:rsidRPr="003E4049">
        <w:rPr>
          <w:rStyle w:val="FootnoteReference"/>
        </w:rPr>
        <w:footnoteRef/>
      </w:r>
      <w:r w:rsidRPr="003E4049">
        <w:t xml:space="preserve"> </w:t>
      </w:r>
      <w:hyperlink r:id="rId6" w:history="1">
        <w:r w:rsidRPr="003E4049">
          <w:rPr>
            <w:rStyle w:val="Hyperlink"/>
          </w:rPr>
          <w:t>N.C. Gen. Stat. § 58-67-110</w:t>
        </w:r>
      </w:hyperlink>
      <w:r w:rsidRPr="003E4049">
        <w:t>(b).</w:t>
      </w:r>
    </w:p>
  </w:footnote>
  <w:footnote w:id="18">
    <w:p w14:paraId="009C3AFD" w14:textId="77777777" w:rsidR="0048467B" w:rsidRPr="003E4049" w:rsidRDefault="0048467B" w:rsidP="002F5198">
      <w:pPr>
        <w:pStyle w:val="OutlineFootnotes"/>
      </w:pPr>
      <w:r w:rsidRPr="003E4049">
        <w:rPr>
          <w:rStyle w:val="FootnoteReference"/>
        </w:rPr>
        <w:footnoteRef/>
      </w:r>
      <w:r w:rsidRPr="003E4049">
        <w:t xml:space="preserve"> </w:t>
      </w:r>
      <w:hyperlink r:id="rId7" w:history="1">
        <w:r w:rsidRPr="003E4049">
          <w:rPr>
            <w:rStyle w:val="Hyperlink"/>
          </w:rPr>
          <w:t>N.C. Gen. Stat. § 58-67-25</w:t>
        </w:r>
      </w:hyperlink>
      <w:r w:rsidRPr="003E4049">
        <w:t>;</w:t>
      </w:r>
      <w:hyperlink r:id="rId8" w:history="1">
        <w:r w:rsidRPr="003E4049">
          <w:rPr>
            <w:rStyle w:val="Hyperlink"/>
          </w:rPr>
          <w:t xml:space="preserve"> </w:t>
        </w:r>
        <w:r w:rsidRPr="003E4049">
          <w:rPr>
            <w:rStyle w:val="Hyperlink"/>
            <w:i/>
          </w:rPr>
          <w:t>id.</w:t>
        </w:r>
        <w:r w:rsidRPr="003E4049">
          <w:rPr>
            <w:rStyle w:val="Hyperlink"/>
          </w:rPr>
          <w:t>§ 58-67-110</w:t>
        </w:r>
      </w:hyperlink>
      <w:r w:rsidRPr="003E4049">
        <w:t>(a).</w:t>
      </w:r>
    </w:p>
  </w:footnote>
  <w:footnote w:id="19">
    <w:p w14:paraId="048FBF6D" w14:textId="77777777" w:rsidR="0048467B" w:rsidRDefault="0048467B" w:rsidP="002F5198">
      <w:pPr>
        <w:pStyle w:val="OutlineFootnotes"/>
      </w:pPr>
      <w:r>
        <w:rPr>
          <w:rStyle w:val="FootnoteReference"/>
        </w:rPr>
        <w:footnoteRef/>
      </w:r>
      <w:r>
        <w:t xml:space="preserve"> </w:t>
      </w:r>
      <w:hyperlink r:id="rId9" w:history="1">
        <w:r w:rsidRPr="00490739">
          <w:rPr>
            <w:rStyle w:val="Hyperlink"/>
          </w:rPr>
          <w:t>N.C. Gen. Stat. § 58-67-110</w:t>
        </w:r>
      </w:hyperlink>
      <w:r>
        <w:t>(e).</w:t>
      </w:r>
    </w:p>
  </w:footnote>
  <w:footnote w:id="20">
    <w:p w14:paraId="19AF5EF7" w14:textId="77777777" w:rsidR="0048467B" w:rsidRDefault="0048467B" w:rsidP="002F5198">
      <w:pPr>
        <w:pStyle w:val="OutlineFootnotes"/>
      </w:pPr>
      <w:r>
        <w:rPr>
          <w:rStyle w:val="FootnoteReference"/>
        </w:rPr>
        <w:footnoteRef/>
      </w:r>
      <w:r>
        <w:t xml:space="preserve"> </w:t>
      </w:r>
      <w:hyperlink r:id="rId10" w:history="1">
        <w:r w:rsidRPr="005B43DC">
          <w:rPr>
            <w:rStyle w:val="Hyperlink"/>
          </w:rPr>
          <w:t>N.C. Gen. Stat. § 58-67-10</w:t>
        </w:r>
      </w:hyperlink>
      <w:r>
        <w:t>(3a).</w:t>
      </w:r>
    </w:p>
  </w:footnote>
  <w:footnote w:id="21">
    <w:p w14:paraId="77DAE8B3" w14:textId="77777777" w:rsidR="0048467B" w:rsidRPr="00CB423A" w:rsidRDefault="0048467B" w:rsidP="00CB423A">
      <w:pPr>
        <w:pStyle w:val="OutlineFootnotes"/>
      </w:pPr>
      <w:r>
        <w:rPr>
          <w:rStyle w:val="FootnoteReference"/>
        </w:rPr>
        <w:footnoteRef/>
      </w:r>
      <w:r>
        <w:t xml:space="preserve"> </w:t>
      </w:r>
      <w:r w:rsidRPr="00CB423A">
        <w:rPr>
          <w:i/>
        </w:rPr>
        <w:t>Id.</w:t>
      </w:r>
    </w:p>
  </w:footnote>
  <w:footnote w:id="22">
    <w:p w14:paraId="241E1A17" w14:textId="77777777" w:rsidR="0048467B" w:rsidRPr="003E4049" w:rsidRDefault="0048467B" w:rsidP="00FD4D6A">
      <w:pPr>
        <w:pStyle w:val="OutlineFootnotes"/>
      </w:pPr>
      <w:r w:rsidRPr="003E4049">
        <w:rPr>
          <w:rStyle w:val="FootnoteReference"/>
        </w:rPr>
        <w:footnoteRef/>
      </w:r>
      <w:r w:rsidRPr="003E4049">
        <w:t xml:space="preserve"> </w:t>
      </w:r>
      <w:hyperlink r:id="rId11" w:history="1">
        <w:r w:rsidRPr="003E4049">
          <w:rPr>
            <w:rStyle w:val="Hyperlink"/>
          </w:rPr>
          <w:t>N.C. Gen. Stat. § 58-49-5</w:t>
        </w:r>
      </w:hyperlink>
      <w:r w:rsidRPr="003E4049">
        <w:t>.</w:t>
      </w:r>
    </w:p>
  </w:footnote>
  <w:footnote w:id="23">
    <w:p w14:paraId="7D371905" w14:textId="77777777" w:rsidR="0048467B" w:rsidRDefault="0048467B" w:rsidP="006C18D6">
      <w:pPr>
        <w:pStyle w:val="OutlineFootnotes"/>
      </w:pPr>
      <w:r>
        <w:rPr>
          <w:rStyle w:val="FootnoteReference"/>
        </w:rPr>
        <w:footnoteRef/>
      </w:r>
      <w:r>
        <w:t xml:space="preserve"> </w:t>
      </w:r>
      <w:hyperlink r:id="rId12" w:history="1">
        <w:r w:rsidRPr="006058BC">
          <w:rPr>
            <w:rStyle w:val="Hyperlink"/>
          </w:rPr>
          <w:t>42 C.F.R. § 425.606(f), (g)</w:t>
        </w:r>
      </w:hyperlink>
      <w:r>
        <w:t>.</w:t>
      </w:r>
    </w:p>
  </w:footnote>
  <w:footnote w:id="24">
    <w:p w14:paraId="45C7D6BE" w14:textId="77777777" w:rsidR="0048467B" w:rsidRPr="003E4049" w:rsidRDefault="0048467B" w:rsidP="006C18D6">
      <w:pPr>
        <w:pStyle w:val="OutlineFootnotes"/>
      </w:pPr>
      <w:r w:rsidRPr="003E4049">
        <w:rPr>
          <w:rStyle w:val="FootnoteReference"/>
        </w:rPr>
        <w:footnoteRef/>
      </w:r>
      <w:r w:rsidRPr="003E4049">
        <w:t xml:space="preserve"> U.S. Dept. of Health &amp; Human Services, </w:t>
      </w:r>
      <w:proofErr w:type="spellStart"/>
      <w:r w:rsidRPr="003E4049">
        <w:t>Ctrs</w:t>
      </w:r>
      <w:proofErr w:type="spellEnd"/>
      <w:r w:rsidRPr="003E4049">
        <w:t xml:space="preserve">. For Medicare &amp; Medicaid Services, “Medicare Program; Medicare Shared Savings Program: Accountable Care Organizations” (2011 Final Rule), </w:t>
      </w:r>
      <w:hyperlink r:id="rId13" w:history="1">
        <w:r w:rsidRPr="003E4049">
          <w:rPr>
            <w:rStyle w:val="Hyperlink"/>
          </w:rPr>
          <w:t>76 Fed. Reg. 67802</w:t>
        </w:r>
      </w:hyperlink>
      <w:r w:rsidRPr="003E4049">
        <w:t>, 67816.</w:t>
      </w:r>
    </w:p>
  </w:footnote>
  <w:footnote w:id="25">
    <w:p w14:paraId="1E860FAA" w14:textId="77777777" w:rsidR="0048467B" w:rsidRPr="003E4049" w:rsidRDefault="0048467B" w:rsidP="006C18D6">
      <w:pPr>
        <w:pStyle w:val="OutlineFootnotes"/>
      </w:pPr>
      <w:r w:rsidRPr="003E4049">
        <w:rPr>
          <w:rStyle w:val="FootnoteReference"/>
        </w:rPr>
        <w:footnoteRef/>
      </w:r>
      <w:r w:rsidRPr="003E4049">
        <w:t xml:space="preserve"> </w:t>
      </w:r>
      <w:hyperlink r:id="rId14" w:history="1">
        <w:r w:rsidRPr="003E4049">
          <w:rPr>
            <w:rStyle w:val="Hyperlink"/>
          </w:rPr>
          <w:t>42 C.F.R. § 425.204(f)(1)</w:t>
        </w:r>
      </w:hyperlink>
      <w:r w:rsidRPr="003E4049">
        <w:t>.</w:t>
      </w:r>
    </w:p>
  </w:footnote>
  <w:footnote w:id="26">
    <w:p w14:paraId="1813C207" w14:textId="77777777" w:rsidR="0048467B" w:rsidRDefault="0048467B" w:rsidP="006C18D6">
      <w:pPr>
        <w:pStyle w:val="OutlineFootnotes"/>
      </w:pPr>
      <w:r>
        <w:rPr>
          <w:rStyle w:val="FootnoteReference"/>
        </w:rPr>
        <w:footnoteRef/>
      </w:r>
      <w:r>
        <w:t xml:space="preserve"> </w:t>
      </w:r>
      <w:hyperlink r:id="rId15" w:history="1">
        <w:r w:rsidRPr="00C023BB">
          <w:rPr>
            <w:rStyle w:val="Hyperlink"/>
          </w:rPr>
          <w:t>42 C.F.R. § 425.204(f)(2)</w:t>
        </w:r>
      </w:hyperlink>
      <w:r>
        <w:t>. The 2011 MSSP rule also allows ACOs to use reinsurance, but no ACOs have been able to obtain reinsurance, and CMS has proposed to remove reinsurance as an option in the next MSSP rule.</w:t>
      </w:r>
    </w:p>
  </w:footnote>
  <w:footnote w:id="27">
    <w:p w14:paraId="49075524" w14:textId="77777777" w:rsidR="0048467B" w:rsidRDefault="0048467B" w:rsidP="007D31C5">
      <w:pPr>
        <w:pStyle w:val="OutlineFootnotes"/>
      </w:pPr>
      <w:r>
        <w:rPr>
          <w:rStyle w:val="FootnoteReference"/>
        </w:rPr>
        <w:footnoteRef/>
      </w:r>
      <w:r>
        <w:t xml:space="preserve"> Center for Medicare and Medicaid Innovation, </w:t>
      </w:r>
      <w:hyperlink r:id="rId16" w:history="1">
        <w:r w:rsidRPr="003C6FCE">
          <w:rPr>
            <w:rStyle w:val="Hyperlink"/>
          </w:rPr>
          <w:t>Pioneer ACO Model Request for Application</w:t>
        </w:r>
      </w:hyperlink>
      <w:r>
        <w:t>, ¶ III.K.</w:t>
      </w:r>
    </w:p>
  </w:footnote>
  <w:footnote w:id="28">
    <w:p w14:paraId="395A34AC" w14:textId="77777777" w:rsidR="0048467B" w:rsidRPr="00863612" w:rsidRDefault="0048467B" w:rsidP="00C00C18">
      <w:pPr>
        <w:pStyle w:val="OutlineFootnotes"/>
      </w:pPr>
      <w:r>
        <w:rPr>
          <w:rStyle w:val="FootnoteReference"/>
        </w:rPr>
        <w:footnoteRef/>
      </w:r>
      <w:r>
        <w:t xml:space="preserve"> </w:t>
      </w:r>
      <w:r w:rsidRPr="00863612">
        <w:rPr>
          <w:i/>
        </w:rPr>
        <w:t>Id.</w:t>
      </w:r>
    </w:p>
  </w:footnote>
  <w:footnote w:id="29">
    <w:p w14:paraId="54A38838" w14:textId="77777777" w:rsidR="0048467B" w:rsidRDefault="0048467B" w:rsidP="00500FDD">
      <w:pPr>
        <w:pStyle w:val="OutlineFootnotes"/>
      </w:pPr>
      <w:r>
        <w:rPr>
          <w:rStyle w:val="FootnoteReference"/>
        </w:rPr>
        <w:footnoteRef/>
      </w:r>
      <w:r>
        <w:t xml:space="preserve"> </w:t>
      </w:r>
      <w:hyperlink r:id="rId17" w:history="1">
        <w:r w:rsidRPr="002E1C3B">
          <w:rPr>
            <w:rStyle w:val="Hyperlink"/>
          </w:rPr>
          <w:t>42 C.F.R. § 422.208</w:t>
        </w:r>
      </w:hyperlink>
      <w:r>
        <w:t>(d).</w:t>
      </w:r>
    </w:p>
  </w:footnote>
  <w:footnote w:id="30">
    <w:p w14:paraId="20ADAF1A" w14:textId="77777777" w:rsidR="0048467B" w:rsidRDefault="0048467B" w:rsidP="007653ED">
      <w:pPr>
        <w:pStyle w:val="OutlineFootnotes"/>
      </w:pPr>
      <w:r>
        <w:rPr>
          <w:rStyle w:val="FootnoteReference"/>
        </w:rPr>
        <w:footnoteRef/>
      </w:r>
      <w:r>
        <w:t xml:space="preserve"> </w:t>
      </w:r>
      <w:hyperlink r:id="rId18" w:history="1">
        <w:r>
          <w:rPr>
            <w:rStyle w:val="Hyperlink"/>
          </w:rPr>
          <w:t>42 C.F.R. § 422.208</w:t>
        </w:r>
      </w:hyperlink>
      <w:r>
        <w:t>(f).</w:t>
      </w:r>
    </w:p>
  </w:footnote>
  <w:footnote w:id="31">
    <w:p w14:paraId="42233B5B" w14:textId="77777777" w:rsidR="0048467B" w:rsidRDefault="0048467B" w:rsidP="006C18D6">
      <w:pPr>
        <w:pStyle w:val="OutlineFootnotes"/>
      </w:pPr>
      <w:r>
        <w:rPr>
          <w:rStyle w:val="FootnoteReference"/>
        </w:rPr>
        <w:footnoteRef/>
      </w:r>
      <w:r>
        <w:t xml:space="preserve"> </w:t>
      </w:r>
      <w:hyperlink r:id="rId19" w:history="1">
        <w:r w:rsidRPr="0033403F">
          <w:rPr>
            <w:rStyle w:val="Hyperlink"/>
          </w:rPr>
          <w:t>42 U.S.C. §§ 1395w-22</w:t>
        </w:r>
      </w:hyperlink>
      <w:r>
        <w:t xml:space="preserve"> (defining minimum benefit package for Medicare Advantage organizations); </w:t>
      </w:r>
      <w:hyperlink r:id="rId20" w:history="1">
        <w:r w:rsidRPr="00DA2D54">
          <w:rPr>
            <w:rStyle w:val="Hyperlink"/>
          </w:rPr>
          <w:t>42 U.S.C. § 1395w-23</w:t>
        </w:r>
      </w:hyperlink>
      <w:r>
        <w:t xml:space="preserve"> (providing for monthly capitation payments to Medicare Advantage organizations); </w:t>
      </w:r>
      <w:hyperlink r:id="rId21" w:history="1">
        <w:r w:rsidRPr="00C86926">
          <w:rPr>
            <w:rStyle w:val="Hyperlink"/>
          </w:rPr>
          <w:t>42 U.S.C. § 1395w-25</w:t>
        </w:r>
      </w:hyperlink>
      <w:r>
        <w:t xml:space="preserve"> (creating PSOs as a type of Medicare Advantage organization).</w:t>
      </w:r>
    </w:p>
  </w:footnote>
  <w:footnote w:id="32">
    <w:p w14:paraId="5CA8F3C3" w14:textId="77777777" w:rsidR="0048467B" w:rsidRDefault="0048467B" w:rsidP="006C18D6">
      <w:pPr>
        <w:pStyle w:val="OutlineFootnotes"/>
      </w:pPr>
      <w:r>
        <w:rPr>
          <w:rStyle w:val="FootnoteReference"/>
        </w:rPr>
        <w:footnoteRef/>
      </w:r>
      <w:r>
        <w:t xml:space="preserve"> </w:t>
      </w:r>
      <w:hyperlink r:id="rId22" w:history="1">
        <w:r w:rsidRPr="00BD06ED">
          <w:rPr>
            <w:rStyle w:val="Hyperlink"/>
          </w:rPr>
          <w:t>42 C.F.R. §§ 422.380–390</w:t>
        </w:r>
      </w:hyperlink>
      <w:r>
        <w:t xml:space="preserve"> (establishing PSO-specific financial responsibility requirements); </w:t>
      </w:r>
      <w:hyperlink r:id="rId23" w:history="1">
        <w:r w:rsidRPr="008E68FB">
          <w:rPr>
            <w:rStyle w:val="Hyperlink"/>
          </w:rPr>
          <w:t>42 U.S.C. § 1395w-25</w:t>
        </w:r>
      </w:hyperlink>
      <w:r>
        <w:t>(a)(2)(D) (preempting more stringent state standards).</w:t>
      </w:r>
    </w:p>
  </w:footnote>
  <w:footnote w:id="33">
    <w:p w14:paraId="589C7AA5" w14:textId="77777777" w:rsidR="0048467B" w:rsidRDefault="0048467B" w:rsidP="006C18D6">
      <w:pPr>
        <w:pStyle w:val="OutlineFootnotes"/>
      </w:pPr>
      <w:r>
        <w:rPr>
          <w:rStyle w:val="FootnoteReference"/>
        </w:rPr>
        <w:footnoteRef/>
      </w:r>
      <w:r>
        <w:t xml:space="preserve"> </w:t>
      </w:r>
      <w:hyperlink r:id="rId24" w:history="1">
        <w:r w:rsidRPr="00452C55">
          <w:rPr>
            <w:rStyle w:val="Hyperlink"/>
          </w:rPr>
          <w:t>N.C. Gen. Stat. §§ 131E-275 et seq.</w:t>
        </w:r>
      </w:hyperlink>
    </w:p>
  </w:footnote>
  <w:footnote w:id="34">
    <w:p w14:paraId="061A00FC" w14:textId="77777777" w:rsidR="0048467B" w:rsidRDefault="0048467B" w:rsidP="006C18D6">
      <w:pPr>
        <w:pStyle w:val="OutlineFootnotes"/>
      </w:pPr>
      <w:r>
        <w:rPr>
          <w:rStyle w:val="FootnoteReference"/>
        </w:rPr>
        <w:footnoteRef/>
      </w:r>
      <w:r>
        <w:t xml:space="preserve"> </w:t>
      </w:r>
      <w:hyperlink r:id="rId25" w:history="1">
        <w:r w:rsidRPr="003C3146">
          <w:rPr>
            <w:rStyle w:val="Hyperlink"/>
          </w:rPr>
          <w:t>N.C. Gen. Stat. § 131E-282</w:t>
        </w:r>
      </w:hyperlink>
      <w:r>
        <w:t>(a)(2).</w:t>
      </w:r>
    </w:p>
  </w:footnote>
  <w:footnote w:id="35">
    <w:p w14:paraId="2EA46C62" w14:textId="77777777" w:rsidR="0048467B" w:rsidRDefault="0048467B" w:rsidP="006C18D6">
      <w:pPr>
        <w:pStyle w:val="OutlineFootnotes"/>
      </w:pPr>
      <w:r>
        <w:rPr>
          <w:rStyle w:val="FootnoteReference"/>
        </w:rPr>
        <w:footnoteRef/>
      </w:r>
      <w:r>
        <w:t xml:space="preserve"> </w:t>
      </w:r>
      <w:hyperlink r:id="rId26" w:history="1">
        <w:r w:rsidRPr="00121E9F">
          <w:rPr>
            <w:rStyle w:val="Hyperlink"/>
          </w:rPr>
          <w:t>N.C. Gen. Stat. § 131E-286</w:t>
        </w:r>
      </w:hyperlink>
      <w:r>
        <w:t>(a).</w:t>
      </w:r>
    </w:p>
  </w:footnote>
  <w:footnote w:id="36">
    <w:p w14:paraId="74DEC537" w14:textId="77777777" w:rsidR="0048467B" w:rsidRDefault="0048467B" w:rsidP="006C18D6">
      <w:pPr>
        <w:pStyle w:val="OutlineFootnotes"/>
      </w:pPr>
      <w:r>
        <w:rPr>
          <w:rStyle w:val="FootnoteReference"/>
        </w:rPr>
        <w:footnoteRef/>
      </w:r>
      <w:r>
        <w:t xml:space="preserve"> </w:t>
      </w:r>
      <w:hyperlink r:id="rId27" w:history="1">
        <w:r w:rsidRPr="003C3146">
          <w:rPr>
            <w:rStyle w:val="Hyperlink"/>
          </w:rPr>
          <w:t>N.C. Gen. Stat. § 131E-282</w:t>
        </w:r>
      </w:hyperlink>
      <w:r>
        <w:t>(a)(3).</w:t>
      </w:r>
    </w:p>
  </w:footnote>
  <w:footnote w:id="37">
    <w:p w14:paraId="2140B21D" w14:textId="77777777" w:rsidR="0048467B" w:rsidRDefault="0048467B" w:rsidP="006C18D6">
      <w:pPr>
        <w:pStyle w:val="OutlineFootnotes"/>
      </w:pPr>
      <w:r>
        <w:rPr>
          <w:rStyle w:val="FootnoteReference"/>
        </w:rPr>
        <w:footnoteRef/>
      </w:r>
      <w:r>
        <w:t xml:space="preserve"> </w:t>
      </w:r>
      <w:hyperlink r:id="rId28" w:history="1">
        <w:r w:rsidRPr="008B464B">
          <w:rPr>
            <w:rStyle w:val="Hyperlink"/>
          </w:rPr>
          <w:t>N.C. Gen. Stat. § 131E-288</w:t>
        </w:r>
      </w:hyperlink>
      <w:r>
        <w:t>(a)</w:t>
      </w:r>
    </w:p>
  </w:footnote>
  <w:footnote w:id="38">
    <w:p w14:paraId="49FDC200" w14:textId="77777777" w:rsidR="0048467B" w:rsidRDefault="0048467B" w:rsidP="006C18D6">
      <w:pPr>
        <w:pStyle w:val="OutlineFootnotes"/>
      </w:pPr>
      <w:r>
        <w:rPr>
          <w:rStyle w:val="FootnoteReference"/>
        </w:rPr>
        <w:footnoteRef/>
      </w:r>
      <w:r>
        <w:t xml:space="preserve"> </w:t>
      </w:r>
      <w:hyperlink r:id="rId29" w:history="1">
        <w:r w:rsidRPr="00230471">
          <w:rPr>
            <w:rStyle w:val="Hyperlink"/>
          </w:rPr>
          <w:t>Mass. Gen. Laws ch.176T, § 1</w:t>
        </w:r>
      </w:hyperlink>
      <w:r>
        <w:t xml:space="preserve"> (defining RBPOs).</w:t>
      </w:r>
    </w:p>
  </w:footnote>
  <w:footnote w:id="39">
    <w:p w14:paraId="27084E12" w14:textId="77777777" w:rsidR="0048467B" w:rsidRDefault="0048467B" w:rsidP="006C18D6">
      <w:pPr>
        <w:pStyle w:val="OutlineFootnotes"/>
      </w:pPr>
      <w:r>
        <w:rPr>
          <w:rStyle w:val="FootnoteReference"/>
        </w:rPr>
        <w:footnoteRef/>
      </w:r>
      <w:r>
        <w:t xml:space="preserve"> </w:t>
      </w:r>
      <w:hyperlink r:id="rId30" w:history="1">
        <w:r w:rsidRPr="00BD24A0">
          <w:rPr>
            <w:rStyle w:val="Hyperlink"/>
          </w:rPr>
          <w:t>211 Mass. Code Regs. 155.05(1)</w:t>
        </w:r>
      </w:hyperlink>
      <w:r>
        <w:t>.</w:t>
      </w:r>
    </w:p>
  </w:footnote>
  <w:footnote w:id="40">
    <w:p w14:paraId="04A7DABD" w14:textId="77777777" w:rsidR="0048467B" w:rsidRDefault="0048467B" w:rsidP="006C18D6">
      <w:pPr>
        <w:pStyle w:val="OutlineFootnotes"/>
      </w:pPr>
      <w:r>
        <w:rPr>
          <w:rStyle w:val="FootnoteReference"/>
        </w:rPr>
        <w:footnoteRef/>
      </w:r>
      <w:r>
        <w:t xml:space="preserve"> </w:t>
      </w:r>
      <w:hyperlink r:id="rId31" w:history="1">
        <w:r>
          <w:rPr>
            <w:rStyle w:val="Hyperlink"/>
          </w:rPr>
          <w:t xml:space="preserve">Mass. Gen. Laws </w:t>
        </w:r>
        <w:proofErr w:type="spellStart"/>
        <w:r>
          <w:rPr>
            <w:rStyle w:val="Hyperlink"/>
          </w:rPr>
          <w:t>ch.</w:t>
        </w:r>
        <w:proofErr w:type="spellEnd"/>
        <w:r>
          <w:rPr>
            <w:rStyle w:val="Hyperlink"/>
          </w:rPr>
          <w:t xml:space="preserve"> 176T, § 2</w:t>
        </w:r>
      </w:hyperlink>
      <w:r>
        <w:t>.</w:t>
      </w:r>
    </w:p>
  </w:footnote>
  <w:footnote w:id="41">
    <w:p w14:paraId="367F421A" w14:textId="77777777" w:rsidR="0048467B" w:rsidRDefault="0048467B" w:rsidP="006C18D6">
      <w:pPr>
        <w:pStyle w:val="OutlineFootnotes"/>
      </w:pPr>
      <w:r>
        <w:rPr>
          <w:rStyle w:val="FootnoteReference"/>
        </w:rPr>
        <w:footnoteRef/>
      </w:r>
      <w:r>
        <w:t xml:space="preserve"> </w:t>
      </w:r>
      <w:hyperlink r:id="rId32" w:history="1">
        <w:r>
          <w:rPr>
            <w:rStyle w:val="Hyperlink"/>
          </w:rPr>
          <w:t xml:space="preserve">Mass. Gen. Laws </w:t>
        </w:r>
        <w:proofErr w:type="spellStart"/>
        <w:r>
          <w:rPr>
            <w:rStyle w:val="Hyperlink"/>
          </w:rPr>
          <w:t>ch.</w:t>
        </w:r>
        <w:proofErr w:type="spellEnd"/>
        <w:r>
          <w:rPr>
            <w:rStyle w:val="Hyperlink"/>
          </w:rPr>
          <w:t xml:space="preserve"> 176T, § 3</w:t>
        </w:r>
      </w:hyperlink>
      <w:r>
        <w:t xml:space="preserve">; </w:t>
      </w:r>
      <w:hyperlink r:id="rId33" w:history="1">
        <w:r w:rsidRPr="00BD24A0">
          <w:rPr>
            <w:rStyle w:val="Hyperlink"/>
          </w:rPr>
          <w:t>211 Mass. Code Regs. 155.05(1)</w:t>
        </w:r>
      </w:hyperlink>
      <w:r>
        <w:t>.</w:t>
      </w:r>
    </w:p>
  </w:footnote>
  <w:footnote w:id="42">
    <w:p w14:paraId="4B17B730" w14:textId="77777777" w:rsidR="0048467B" w:rsidRDefault="0048467B" w:rsidP="006C18D6">
      <w:pPr>
        <w:pStyle w:val="OutlineFootnotes"/>
      </w:pPr>
      <w:r>
        <w:rPr>
          <w:rStyle w:val="FootnoteReference"/>
        </w:rPr>
        <w:footnoteRef/>
      </w:r>
      <w:r>
        <w:t xml:space="preserve"> </w:t>
      </w:r>
      <w:hyperlink r:id="rId34" w:history="1">
        <w:r w:rsidRPr="00430C35">
          <w:rPr>
            <w:rStyle w:val="Hyperlink"/>
          </w:rPr>
          <w:t>211 Mass. Code Regs. 155.06</w:t>
        </w:r>
      </w:hyperlink>
      <w:r>
        <w:t>.</w:t>
      </w:r>
    </w:p>
  </w:footnote>
  <w:footnote w:id="43">
    <w:p w14:paraId="67DB7ACF" w14:textId="77777777" w:rsidR="0048467B" w:rsidRPr="00D43AA2" w:rsidRDefault="0048467B" w:rsidP="00D43AA2">
      <w:pPr>
        <w:pStyle w:val="OutlineFootnotes"/>
      </w:pPr>
      <w:r>
        <w:rPr>
          <w:rStyle w:val="FootnoteReference"/>
        </w:rPr>
        <w:footnoteRef/>
      </w:r>
      <w:r>
        <w:t xml:space="preserve"> </w:t>
      </w:r>
      <w:r>
        <w:rPr>
          <w:i/>
        </w:rPr>
        <w:t>See generally</w:t>
      </w:r>
      <w:r>
        <w:t xml:space="preserve"> </w:t>
      </w:r>
      <w:hyperlink r:id="rId35" w:history="1">
        <w:r w:rsidRPr="009E3C03">
          <w:rPr>
            <w:rStyle w:val="Hyperlink"/>
          </w:rPr>
          <w:t>305 Ill. Comp. Stat. 5</w:t>
        </w:r>
      </w:hyperlink>
      <w:r>
        <w:t>/5-30(g).</w:t>
      </w:r>
    </w:p>
  </w:footnote>
  <w:footnote w:id="44">
    <w:p w14:paraId="6A035740" w14:textId="77777777" w:rsidR="0048467B" w:rsidRDefault="0048467B" w:rsidP="006C18D6">
      <w:pPr>
        <w:pStyle w:val="OutlineFootnotes"/>
      </w:pPr>
      <w:r>
        <w:rPr>
          <w:rStyle w:val="FootnoteReference"/>
        </w:rPr>
        <w:footnoteRef/>
      </w:r>
      <w:r>
        <w:t xml:space="preserve"> Illinois Department of Healthcare and Family Services, </w:t>
      </w:r>
      <w:hyperlink r:id="rId36" w:history="1">
        <w:r w:rsidRPr="001F024C">
          <w:rPr>
            <w:rStyle w:val="Hyperlink"/>
          </w:rPr>
          <w:t>Solicitation for Accountable Care Entities</w:t>
        </w:r>
      </w:hyperlink>
      <w:r>
        <w:t>, ¶ 3.1.6.3.</w:t>
      </w:r>
    </w:p>
  </w:footnote>
  <w:footnote w:id="45">
    <w:p w14:paraId="1D371C5A" w14:textId="77777777" w:rsidR="0048467B" w:rsidRDefault="0048467B" w:rsidP="006C18D6">
      <w:pPr>
        <w:pStyle w:val="OutlineFootnotes"/>
      </w:pPr>
      <w:r>
        <w:rPr>
          <w:rStyle w:val="FootnoteReference"/>
        </w:rPr>
        <w:footnoteRef/>
      </w:r>
      <w:r>
        <w:t xml:space="preserve"> </w:t>
      </w:r>
      <w:r>
        <w:rPr>
          <w:i/>
        </w:rPr>
        <w:t>Id.</w:t>
      </w:r>
      <w:r>
        <w:t xml:space="preserve"> ¶ 3.1.6.4.</w:t>
      </w:r>
    </w:p>
  </w:footnote>
  <w:footnote w:id="46">
    <w:p w14:paraId="664763F6" w14:textId="77777777" w:rsidR="0048467B" w:rsidRDefault="0048467B" w:rsidP="006C18D6">
      <w:pPr>
        <w:pStyle w:val="OutlineFootnotes"/>
      </w:pPr>
      <w:r>
        <w:rPr>
          <w:rStyle w:val="FootnoteReference"/>
        </w:rPr>
        <w:footnoteRef/>
      </w:r>
      <w:r>
        <w:t xml:space="preserve"> </w:t>
      </w:r>
      <w:r>
        <w:rPr>
          <w:i/>
        </w:rPr>
        <w:t>Id.</w:t>
      </w:r>
      <w:r>
        <w:t xml:space="preserve"> ¶ 3.1.6.5.</w:t>
      </w:r>
    </w:p>
  </w:footnote>
  <w:footnote w:id="47">
    <w:p w14:paraId="5BD2C834" w14:textId="77777777" w:rsidR="0048467B" w:rsidRDefault="0048467B" w:rsidP="009728A9">
      <w:pPr>
        <w:pStyle w:val="OutlineFootnotes"/>
      </w:pPr>
      <w:r>
        <w:rPr>
          <w:rStyle w:val="FootnoteReference"/>
        </w:rPr>
        <w:footnoteRef/>
      </w:r>
      <w:r>
        <w:t xml:space="preserve"> Ill. Admin. Code tit. 89, § 143.300 (</w:t>
      </w:r>
      <w:hyperlink r:id="rId37" w:history="1">
        <w:r w:rsidRPr="00646EE5">
          <w:rPr>
            <w:rStyle w:val="Hyperlink"/>
          </w:rPr>
          <w:t>proposed revised version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5C18" w14:textId="77777777" w:rsidR="00650582" w:rsidRDefault="006505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5C88B" w14:textId="77777777" w:rsidR="00650582" w:rsidRDefault="006505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0BC6" w14:textId="77777777" w:rsidR="00650582" w:rsidRDefault="00650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75C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697B69DA"/>
    <w:multiLevelType w:val="hybridMultilevel"/>
    <w:tmpl w:val="F39EB608"/>
    <w:lvl w:ilvl="0" w:tplc="77AC8A32">
      <w:start w:val="1"/>
      <w:numFmt w:val="upperRoman"/>
      <w:pStyle w:val="OutlineLevel1"/>
      <w:lvlText w:val="%1."/>
      <w:lvlJc w:val="left"/>
      <w:pPr>
        <w:ind w:left="1080" w:hanging="720"/>
      </w:pPr>
      <w:rPr>
        <w:rFonts w:hint="default"/>
      </w:rPr>
    </w:lvl>
    <w:lvl w:ilvl="1" w:tplc="542699FA">
      <w:start w:val="1"/>
      <w:numFmt w:val="lowerLetter"/>
      <w:pStyle w:val="OutlineLevel2"/>
      <w:lvlText w:val="%2."/>
      <w:lvlJc w:val="left"/>
      <w:pPr>
        <w:ind w:left="1440" w:hanging="360"/>
      </w:pPr>
    </w:lvl>
    <w:lvl w:ilvl="2" w:tplc="CA4A147E">
      <w:start w:val="1"/>
      <w:numFmt w:val="lowerRoman"/>
      <w:pStyle w:val="OutlineLevel3"/>
      <w:lvlText w:val="%3."/>
      <w:lvlJc w:val="right"/>
      <w:pPr>
        <w:ind w:left="2160" w:hanging="180"/>
      </w:pPr>
      <w:rPr>
        <w:b/>
        <w:i w:val="0"/>
        <w:sz w:val="22"/>
      </w:rPr>
    </w:lvl>
    <w:lvl w:ilvl="3" w:tplc="DCA081C8">
      <w:start w:val="1"/>
      <w:numFmt w:val="decimal"/>
      <w:pStyle w:val="OutlineLevel4"/>
      <w:lvlText w:val="%4."/>
      <w:lvlJc w:val="left"/>
      <w:pPr>
        <w:ind w:left="2880" w:hanging="360"/>
      </w:pPr>
    </w:lvl>
    <w:lvl w:ilvl="4" w:tplc="2E8C1CD0">
      <w:start w:val="1"/>
      <w:numFmt w:val="lowerLetter"/>
      <w:pStyle w:val="OutlineLevel5"/>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73AC6"/>
    <w:multiLevelType w:val="hybridMultilevel"/>
    <w:tmpl w:val="D24ADB0A"/>
    <w:lvl w:ilvl="0" w:tplc="F0C6A3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33"/>
    <w:rsid w:val="00006846"/>
    <w:rsid w:val="00006AB8"/>
    <w:rsid w:val="000106FD"/>
    <w:rsid w:val="00012C0C"/>
    <w:rsid w:val="00015C16"/>
    <w:rsid w:val="000211E9"/>
    <w:rsid w:val="00025BF0"/>
    <w:rsid w:val="00025E57"/>
    <w:rsid w:val="00027A05"/>
    <w:rsid w:val="00032B7B"/>
    <w:rsid w:val="0005058A"/>
    <w:rsid w:val="00050D7C"/>
    <w:rsid w:val="000527D0"/>
    <w:rsid w:val="00053396"/>
    <w:rsid w:val="0005497D"/>
    <w:rsid w:val="0008125A"/>
    <w:rsid w:val="00094133"/>
    <w:rsid w:val="00094A72"/>
    <w:rsid w:val="00095982"/>
    <w:rsid w:val="000A672D"/>
    <w:rsid w:val="000A7B1A"/>
    <w:rsid w:val="000B0AF3"/>
    <w:rsid w:val="000B0B6A"/>
    <w:rsid w:val="000C35C6"/>
    <w:rsid w:val="000D1886"/>
    <w:rsid w:val="000D1A34"/>
    <w:rsid w:val="000D7BCF"/>
    <w:rsid w:val="000E01C9"/>
    <w:rsid w:val="000E6B36"/>
    <w:rsid w:val="00102BE2"/>
    <w:rsid w:val="00102C21"/>
    <w:rsid w:val="001112AA"/>
    <w:rsid w:val="0011340C"/>
    <w:rsid w:val="00114797"/>
    <w:rsid w:val="00121E9F"/>
    <w:rsid w:val="0012344E"/>
    <w:rsid w:val="0012349B"/>
    <w:rsid w:val="00126836"/>
    <w:rsid w:val="00130FC4"/>
    <w:rsid w:val="001400CA"/>
    <w:rsid w:val="00154244"/>
    <w:rsid w:val="001672D8"/>
    <w:rsid w:val="001672DE"/>
    <w:rsid w:val="001726C1"/>
    <w:rsid w:val="001726EB"/>
    <w:rsid w:val="0018651B"/>
    <w:rsid w:val="00190252"/>
    <w:rsid w:val="001907B6"/>
    <w:rsid w:val="00190F19"/>
    <w:rsid w:val="0019250B"/>
    <w:rsid w:val="00194F69"/>
    <w:rsid w:val="00197413"/>
    <w:rsid w:val="001B6076"/>
    <w:rsid w:val="001D02BB"/>
    <w:rsid w:val="001D534C"/>
    <w:rsid w:val="001E33BC"/>
    <w:rsid w:val="001F0874"/>
    <w:rsid w:val="001F3FD5"/>
    <w:rsid w:val="001F55AC"/>
    <w:rsid w:val="0021039E"/>
    <w:rsid w:val="002146D2"/>
    <w:rsid w:val="0023591F"/>
    <w:rsid w:val="0024269F"/>
    <w:rsid w:val="0024399F"/>
    <w:rsid w:val="00245C09"/>
    <w:rsid w:val="002517A4"/>
    <w:rsid w:val="00252B6E"/>
    <w:rsid w:val="002738A8"/>
    <w:rsid w:val="00277236"/>
    <w:rsid w:val="002A2308"/>
    <w:rsid w:val="002B283E"/>
    <w:rsid w:val="002C4B0A"/>
    <w:rsid w:val="002D2BE0"/>
    <w:rsid w:val="002D3148"/>
    <w:rsid w:val="002D336E"/>
    <w:rsid w:val="002D3F44"/>
    <w:rsid w:val="002D5AAD"/>
    <w:rsid w:val="002D665A"/>
    <w:rsid w:val="002D7B04"/>
    <w:rsid w:val="002E1C3B"/>
    <w:rsid w:val="002F44D1"/>
    <w:rsid w:val="002F5198"/>
    <w:rsid w:val="002F7156"/>
    <w:rsid w:val="00305BDB"/>
    <w:rsid w:val="00317DB5"/>
    <w:rsid w:val="0032157C"/>
    <w:rsid w:val="00321AA0"/>
    <w:rsid w:val="00322D16"/>
    <w:rsid w:val="00325043"/>
    <w:rsid w:val="0032617C"/>
    <w:rsid w:val="00327B43"/>
    <w:rsid w:val="00333BBD"/>
    <w:rsid w:val="0033403F"/>
    <w:rsid w:val="00340CB5"/>
    <w:rsid w:val="003436E5"/>
    <w:rsid w:val="00344C7E"/>
    <w:rsid w:val="00345430"/>
    <w:rsid w:val="00354505"/>
    <w:rsid w:val="003602E6"/>
    <w:rsid w:val="00361EDB"/>
    <w:rsid w:val="0037692D"/>
    <w:rsid w:val="003A10E9"/>
    <w:rsid w:val="003A5ADD"/>
    <w:rsid w:val="003B1178"/>
    <w:rsid w:val="003B3083"/>
    <w:rsid w:val="003B4116"/>
    <w:rsid w:val="003B64BB"/>
    <w:rsid w:val="003C3146"/>
    <w:rsid w:val="003C6FCE"/>
    <w:rsid w:val="003D4150"/>
    <w:rsid w:val="003E4049"/>
    <w:rsid w:val="003E47E8"/>
    <w:rsid w:val="003F5714"/>
    <w:rsid w:val="003F57B1"/>
    <w:rsid w:val="00400B0B"/>
    <w:rsid w:val="0040273C"/>
    <w:rsid w:val="00412798"/>
    <w:rsid w:val="004158BB"/>
    <w:rsid w:val="00416F91"/>
    <w:rsid w:val="00421EC4"/>
    <w:rsid w:val="00444A97"/>
    <w:rsid w:val="0044706A"/>
    <w:rsid w:val="00452F6D"/>
    <w:rsid w:val="00453E6D"/>
    <w:rsid w:val="00454EC6"/>
    <w:rsid w:val="00460E25"/>
    <w:rsid w:val="00460E9E"/>
    <w:rsid w:val="00461C13"/>
    <w:rsid w:val="004638E9"/>
    <w:rsid w:val="0046722C"/>
    <w:rsid w:val="00470CEB"/>
    <w:rsid w:val="0047596D"/>
    <w:rsid w:val="0048457C"/>
    <w:rsid w:val="0048467B"/>
    <w:rsid w:val="004859FB"/>
    <w:rsid w:val="00490739"/>
    <w:rsid w:val="004B1157"/>
    <w:rsid w:val="004B3286"/>
    <w:rsid w:val="004B3D53"/>
    <w:rsid w:val="004B5EE4"/>
    <w:rsid w:val="004C2C02"/>
    <w:rsid w:val="004E0071"/>
    <w:rsid w:val="004E1BD6"/>
    <w:rsid w:val="004E74A6"/>
    <w:rsid w:val="004F279A"/>
    <w:rsid w:val="00500FDD"/>
    <w:rsid w:val="00506704"/>
    <w:rsid w:val="005152EA"/>
    <w:rsid w:val="00520FA6"/>
    <w:rsid w:val="00535237"/>
    <w:rsid w:val="00541488"/>
    <w:rsid w:val="005443DA"/>
    <w:rsid w:val="00545954"/>
    <w:rsid w:val="005539A0"/>
    <w:rsid w:val="005708E1"/>
    <w:rsid w:val="00580E40"/>
    <w:rsid w:val="0058246B"/>
    <w:rsid w:val="00596ACA"/>
    <w:rsid w:val="005A35AF"/>
    <w:rsid w:val="005B390A"/>
    <w:rsid w:val="005B43DC"/>
    <w:rsid w:val="005B62FB"/>
    <w:rsid w:val="005C0E57"/>
    <w:rsid w:val="005C2652"/>
    <w:rsid w:val="005C3C9C"/>
    <w:rsid w:val="005E6460"/>
    <w:rsid w:val="005F326E"/>
    <w:rsid w:val="0060161E"/>
    <w:rsid w:val="006058BC"/>
    <w:rsid w:val="00607FDE"/>
    <w:rsid w:val="0062117C"/>
    <w:rsid w:val="006227D1"/>
    <w:rsid w:val="00623FA4"/>
    <w:rsid w:val="00641046"/>
    <w:rsid w:val="00646EE5"/>
    <w:rsid w:val="006502F9"/>
    <w:rsid w:val="00650582"/>
    <w:rsid w:val="00652E94"/>
    <w:rsid w:val="006545C8"/>
    <w:rsid w:val="0066287A"/>
    <w:rsid w:val="0067526C"/>
    <w:rsid w:val="006900C2"/>
    <w:rsid w:val="006924EC"/>
    <w:rsid w:val="006954AE"/>
    <w:rsid w:val="006A209D"/>
    <w:rsid w:val="006A6519"/>
    <w:rsid w:val="006A78C6"/>
    <w:rsid w:val="006B3997"/>
    <w:rsid w:val="006B5CDF"/>
    <w:rsid w:val="006B712A"/>
    <w:rsid w:val="006C18D6"/>
    <w:rsid w:val="006C3D3D"/>
    <w:rsid w:val="006C60B2"/>
    <w:rsid w:val="006D043C"/>
    <w:rsid w:val="006E1A72"/>
    <w:rsid w:val="006E27FA"/>
    <w:rsid w:val="006E6695"/>
    <w:rsid w:val="006F24C6"/>
    <w:rsid w:val="006F6D82"/>
    <w:rsid w:val="00700142"/>
    <w:rsid w:val="00706009"/>
    <w:rsid w:val="00706BD7"/>
    <w:rsid w:val="00717B07"/>
    <w:rsid w:val="00720227"/>
    <w:rsid w:val="00720419"/>
    <w:rsid w:val="00735CEE"/>
    <w:rsid w:val="00744A3B"/>
    <w:rsid w:val="00746A9B"/>
    <w:rsid w:val="0074775E"/>
    <w:rsid w:val="00750547"/>
    <w:rsid w:val="007510A2"/>
    <w:rsid w:val="0075482F"/>
    <w:rsid w:val="007548D1"/>
    <w:rsid w:val="00757CBF"/>
    <w:rsid w:val="00760732"/>
    <w:rsid w:val="00764A8F"/>
    <w:rsid w:val="007653ED"/>
    <w:rsid w:val="00765462"/>
    <w:rsid w:val="0077573E"/>
    <w:rsid w:val="0077581E"/>
    <w:rsid w:val="00775C83"/>
    <w:rsid w:val="0078556A"/>
    <w:rsid w:val="007A4850"/>
    <w:rsid w:val="007A73E2"/>
    <w:rsid w:val="007B562F"/>
    <w:rsid w:val="007B7C30"/>
    <w:rsid w:val="007C0A2E"/>
    <w:rsid w:val="007D31C5"/>
    <w:rsid w:val="007D4A93"/>
    <w:rsid w:val="007D52EB"/>
    <w:rsid w:val="007D7E1B"/>
    <w:rsid w:val="007F0B10"/>
    <w:rsid w:val="00800953"/>
    <w:rsid w:val="00802D0D"/>
    <w:rsid w:val="00805EB4"/>
    <w:rsid w:val="00820907"/>
    <w:rsid w:val="008226AF"/>
    <w:rsid w:val="008238BB"/>
    <w:rsid w:val="00831555"/>
    <w:rsid w:val="00840CE8"/>
    <w:rsid w:val="00844C75"/>
    <w:rsid w:val="00851160"/>
    <w:rsid w:val="00861AAC"/>
    <w:rsid w:val="00863612"/>
    <w:rsid w:val="008701DB"/>
    <w:rsid w:val="00874A54"/>
    <w:rsid w:val="00876ABC"/>
    <w:rsid w:val="00884985"/>
    <w:rsid w:val="008850CF"/>
    <w:rsid w:val="00896179"/>
    <w:rsid w:val="008961DA"/>
    <w:rsid w:val="008A1262"/>
    <w:rsid w:val="008A75C4"/>
    <w:rsid w:val="008B3DA2"/>
    <w:rsid w:val="008B464B"/>
    <w:rsid w:val="008C14EF"/>
    <w:rsid w:val="008C590F"/>
    <w:rsid w:val="008E1CAA"/>
    <w:rsid w:val="008E68FB"/>
    <w:rsid w:val="008F3977"/>
    <w:rsid w:val="008F5144"/>
    <w:rsid w:val="00914639"/>
    <w:rsid w:val="00915286"/>
    <w:rsid w:val="0092645B"/>
    <w:rsid w:val="00954E33"/>
    <w:rsid w:val="00955DD7"/>
    <w:rsid w:val="0095689C"/>
    <w:rsid w:val="009728A9"/>
    <w:rsid w:val="0097338C"/>
    <w:rsid w:val="00977D50"/>
    <w:rsid w:val="00985CE7"/>
    <w:rsid w:val="009A45E6"/>
    <w:rsid w:val="009A58B0"/>
    <w:rsid w:val="009A7548"/>
    <w:rsid w:val="009C0A20"/>
    <w:rsid w:val="009C246A"/>
    <w:rsid w:val="009C458D"/>
    <w:rsid w:val="009C56C2"/>
    <w:rsid w:val="009C6D03"/>
    <w:rsid w:val="009D4555"/>
    <w:rsid w:val="009D6A15"/>
    <w:rsid w:val="009D77A3"/>
    <w:rsid w:val="009E29CA"/>
    <w:rsid w:val="009E3C03"/>
    <w:rsid w:val="009F6071"/>
    <w:rsid w:val="00A1279F"/>
    <w:rsid w:val="00A20992"/>
    <w:rsid w:val="00A214F3"/>
    <w:rsid w:val="00A336F1"/>
    <w:rsid w:val="00A352B2"/>
    <w:rsid w:val="00A371DA"/>
    <w:rsid w:val="00A40A8E"/>
    <w:rsid w:val="00A72068"/>
    <w:rsid w:val="00A72B0B"/>
    <w:rsid w:val="00A72E35"/>
    <w:rsid w:val="00A77E9D"/>
    <w:rsid w:val="00A81F01"/>
    <w:rsid w:val="00A93B57"/>
    <w:rsid w:val="00A948C9"/>
    <w:rsid w:val="00A95506"/>
    <w:rsid w:val="00A968AF"/>
    <w:rsid w:val="00AB0491"/>
    <w:rsid w:val="00AB77E9"/>
    <w:rsid w:val="00AC0216"/>
    <w:rsid w:val="00AD599C"/>
    <w:rsid w:val="00AD7482"/>
    <w:rsid w:val="00AE2480"/>
    <w:rsid w:val="00AE5F98"/>
    <w:rsid w:val="00AF778C"/>
    <w:rsid w:val="00B008BF"/>
    <w:rsid w:val="00B04AF0"/>
    <w:rsid w:val="00B121B9"/>
    <w:rsid w:val="00B13470"/>
    <w:rsid w:val="00B32CBE"/>
    <w:rsid w:val="00B35D71"/>
    <w:rsid w:val="00B412D4"/>
    <w:rsid w:val="00B514E0"/>
    <w:rsid w:val="00B5400D"/>
    <w:rsid w:val="00B72BEE"/>
    <w:rsid w:val="00B74790"/>
    <w:rsid w:val="00B95EEE"/>
    <w:rsid w:val="00BA5473"/>
    <w:rsid w:val="00BB49DA"/>
    <w:rsid w:val="00BC5343"/>
    <w:rsid w:val="00BC541D"/>
    <w:rsid w:val="00BD06ED"/>
    <w:rsid w:val="00BF55C7"/>
    <w:rsid w:val="00BF7DD7"/>
    <w:rsid w:val="00C00C18"/>
    <w:rsid w:val="00C06737"/>
    <w:rsid w:val="00C14A43"/>
    <w:rsid w:val="00C14B09"/>
    <w:rsid w:val="00C21C07"/>
    <w:rsid w:val="00C24CAB"/>
    <w:rsid w:val="00C364E7"/>
    <w:rsid w:val="00C45001"/>
    <w:rsid w:val="00C5000D"/>
    <w:rsid w:val="00C50B8B"/>
    <w:rsid w:val="00C67764"/>
    <w:rsid w:val="00C7388C"/>
    <w:rsid w:val="00C76633"/>
    <w:rsid w:val="00C779E4"/>
    <w:rsid w:val="00C838B8"/>
    <w:rsid w:val="00C8414C"/>
    <w:rsid w:val="00C86926"/>
    <w:rsid w:val="00C86BD3"/>
    <w:rsid w:val="00C86C40"/>
    <w:rsid w:val="00C90638"/>
    <w:rsid w:val="00C94A07"/>
    <w:rsid w:val="00C9572B"/>
    <w:rsid w:val="00CA07E8"/>
    <w:rsid w:val="00CA4354"/>
    <w:rsid w:val="00CB423A"/>
    <w:rsid w:val="00CC4888"/>
    <w:rsid w:val="00CC7B59"/>
    <w:rsid w:val="00CD1C45"/>
    <w:rsid w:val="00CD3382"/>
    <w:rsid w:val="00CF36F4"/>
    <w:rsid w:val="00D01B5A"/>
    <w:rsid w:val="00D05732"/>
    <w:rsid w:val="00D1785C"/>
    <w:rsid w:val="00D21AD9"/>
    <w:rsid w:val="00D22AB4"/>
    <w:rsid w:val="00D32A99"/>
    <w:rsid w:val="00D3516E"/>
    <w:rsid w:val="00D356AD"/>
    <w:rsid w:val="00D3761E"/>
    <w:rsid w:val="00D43AA2"/>
    <w:rsid w:val="00D4596D"/>
    <w:rsid w:val="00D471C8"/>
    <w:rsid w:val="00D52817"/>
    <w:rsid w:val="00D652A3"/>
    <w:rsid w:val="00D755EC"/>
    <w:rsid w:val="00D807CD"/>
    <w:rsid w:val="00D874EB"/>
    <w:rsid w:val="00DA1BAA"/>
    <w:rsid w:val="00DA2D54"/>
    <w:rsid w:val="00DA3447"/>
    <w:rsid w:val="00DA34BD"/>
    <w:rsid w:val="00DB3035"/>
    <w:rsid w:val="00DB4194"/>
    <w:rsid w:val="00DB509C"/>
    <w:rsid w:val="00DC2ADF"/>
    <w:rsid w:val="00DD4273"/>
    <w:rsid w:val="00DD5F51"/>
    <w:rsid w:val="00DE052C"/>
    <w:rsid w:val="00DF185D"/>
    <w:rsid w:val="00DF5A4A"/>
    <w:rsid w:val="00E00F49"/>
    <w:rsid w:val="00E03F06"/>
    <w:rsid w:val="00E35974"/>
    <w:rsid w:val="00E42CD6"/>
    <w:rsid w:val="00E62693"/>
    <w:rsid w:val="00E643CB"/>
    <w:rsid w:val="00E66CB9"/>
    <w:rsid w:val="00E70C27"/>
    <w:rsid w:val="00E7464F"/>
    <w:rsid w:val="00EA2F85"/>
    <w:rsid w:val="00EB65F6"/>
    <w:rsid w:val="00EC0783"/>
    <w:rsid w:val="00EC0F3A"/>
    <w:rsid w:val="00EC5AA2"/>
    <w:rsid w:val="00ED0879"/>
    <w:rsid w:val="00ED4CBD"/>
    <w:rsid w:val="00EE24FD"/>
    <w:rsid w:val="00F05075"/>
    <w:rsid w:val="00F1587D"/>
    <w:rsid w:val="00F15DEC"/>
    <w:rsid w:val="00F21458"/>
    <w:rsid w:val="00F22401"/>
    <w:rsid w:val="00F243BF"/>
    <w:rsid w:val="00F340D1"/>
    <w:rsid w:val="00F420DD"/>
    <w:rsid w:val="00F42827"/>
    <w:rsid w:val="00F45300"/>
    <w:rsid w:val="00F45FC0"/>
    <w:rsid w:val="00F64C70"/>
    <w:rsid w:val="00F77932"/>
    <w:rsid w:val="00FA2DAB"/>
    <w:rsid w:val="00FB3AB9"/>
    <w:rsid w:val="00FB5B62"/>
    <w:rsid w:val="00FC60B8"/>
    <w:rsid w:val="00FD3800"/>
    <w:rsid w:val="00FD4D6A"/>
    <w:rsid w:val="00FD7AD6"/>
    <w:rsid w:val="00FE0D67"/>
    <w:rsid w:val="00FE7ECA"/>
    <w:rsid w:val="00FF1A2D"/>
    <w:rsid w:val="00FF3A99"/>
    <w:rsid w:val="00FF6FA1"/>
    <w:rsid w:val="00FF7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3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E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A10E9"/>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10E9"/>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10E9"/>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10E9"/>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3A10E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10E9"/>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10E9"/>
    <w:pPr>
      <w:numPr>
        <w:ilvl w:val="6"/>
        <w:numId w:val="2"/>
      </w:numPr>
      <w:spacing w:before="240" w:after="60"/>
      <w:outlineLvl w:val="6"/>
    </w:pPr>
  </w:style>
  <w:style w:type="paragraph" w:styleId="Heading8">
    <w:name w:val="heading 8"/>
    <w:basedOn w:val="Normal"/>
    <w:next w:val="Normal"/>
    <w:link w:val="Heading8Char"/>
    <w:uiPriority w:val="9"/>
    <w:semiHidden/>
    <w:unhideWhenUsed/>
    <w:qFormat/>
    <w:rsid w:val="003A10E9"/>
    <w:pPr>
      <w:numPr>
        <w:ilvl w:val="7"/>
        <w:numId w:val="2"/>
      </w:numPr>
      <w:spacing w:before="240" w:after="60"/>
      <w:outlineLvl w:val="7"/>
    </w:pPr>
    <w:rPr>
      <w:i/>
      <w:iCs/>
    </w:rPr>
  </w:style>
  <w:style w:type="paragraph" w:styleId="Heading9">
    <w:name w:val="heading 9"/>
    <w:basedOn w:val="Normal"/>
    <w:next w:val="Normal"/>
    <w:link w:val="Heading9Char"/>
    <w:uiPriority w:val="9"/>
    <w:semiHidden/>
    <w:unhideWhenUsed/>
    <w:qFormat/>
    <w:rsid w:val="003A10E9"/>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0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10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10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10E9"/>
    <w:rPr>
      <w:rFonts w:ascii="Times New Roman" w:hAnsi="Times New Roman"/>
      <w:b/>
      <w:bCs/>
      <w:sz w:val="28"/>
      <w:szCs w:val="28"/>
    </w:rPr>
  </w:style>
  <w:style w:type="character" w:customStyle="1" w:styleId="Heading5Char">
    <w:name w:val="Heading 5 Char"/>
    <w:basedOn w:val="DefaultParagraphFont"/>
    <w:link w:val="Heading5"/>
    <w:uiPriority w:val="9"/>
    <w:rsid w:val="003A10E9"/>
    <w:rPr>
      <w:rFonts w:ascii="Times New Roman" w:hAnsi="Times New Roman"/>
      <w:b/>
      <w:bCs/>
      <w:i/>
      <w:iCs/>
      <w:sz w:val="26"/>
      <w:szCs w:val="26"/>
    </w:rPr>
  </w:style>
  <w:style w:type="character" w:customStyle="1" w:styleId="Heading6Char">
    <w:name w:val="Heading 6 Char"/>
    <w:basedOn w:val="DefaultParagraphFont"/>
    <w:link w:val="Heading6"/>
    <w:uiPriority w:val="9"/>
    <w:rsid w:val="003A10E9"/>
    <w:rPr>
      <w:rFonts w:ascii="Times New Roman" w:hAnsi="Times New Roman"/>
      <w:b/>
      <w:bCs/>
    </w:rPr>
  </w:style>
  <w:style w:type="character" w:customStyle="1" w:styleId="Heading7Char">
    <w:name w:val="Heading 7 Char"/>
    <w:basedOn w:val="DefaultParagraphFont"/>
    <w:link w:val="Heading7"/>
    <w:uiPriority w:val="9"/>
    <w:semiHidden/>
    <w:rsid w:val="003A10E9"/>
    <w:rPr>
      <w:rFonts w:ascii="Times New Roman" w:hAnsi="Times New Roman"/>
      <w:sz w:val="24"/>
      <w:szCs w:val="24"/>
    </w:rPr>
  </w:style>
  <w:style w:type="character" w:customStyle="1" w:styleId="Heading8Char">
    <w:name w:val="Heading 8 Char"/>
    <w:basedOn w:val="DefaultParagraphFont"/>
    <w:link w:val="Heading8"/>
    <w:uiPriority w:val="9"/>
    <w:semiHidden/>
    <w:rsid w:val="003A10E9"/>
    <w:rPr>
      <w:rFonts w:ascii="Times New Roman" w:hAnsi="Times New Roman"/>
      <w:i/>
      <w:iCs/>
      <w:sz w:val="24"/>
      <w:szCs w:val="24"/>
    </w:rPr>
  </w:style>
  <w:style w:type="character" w:customStyle="1" w:styleId="Heading9Char">
    <w:name w:val="Heading 9 Char"/>
    <w:basedOn w:val="DefaultParagraphFont"/>
    <w:link w:val="Heading9"/>
    <w:uiPriority w:val="9"/>
    <w:semiHidden/>
    <w:rsid w:val="003A10E9"/>
    <w:rPr>
      <w:rFonts w:asciiTheme="majorHAnsi" w:eastAsiaTheme="majorEastAsia" w:hAnsiTheme="majorHAnsi"/>
    </w:rPr>
  </w:style>
  <w:style w:type="paragraph" w:styleId="Title">
    <w:name w:val="Title"/>
    <w:basedOn w:val="Normal"/>
    <w:next w:val="Normal"/>
    <w:link w:val="TitleChar"/>
    <w:uiPriority w:val="10"/>
    <w:qFormat/>
    <w:rsid w:val="003A10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10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10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10E9"/>
    <w:rPr>
      <w:rFonts w:asciiTheme="majorHAnsi" w:eastAsiaTheme="majorEastAsia" w:hAnsiTheme="majorHAnsi"/>
      <w:sz w:val="24"/>
      <w:szCs w:val="24"/>
    </w:rPr>
  </w:style>
  <w:style w:type="character" w:styleId="Strong">
    <w:name w:val="Strong"/>
    <w:basedOn w:val="DefaultParagraphFont"/>
    <w:uiPriority w:val="22"/>
    <w:qFormat/>
    <w:rsid w:val="003A10E9"/>
    <w:rPr>
      <w:b/>
      <w:bCs/>
    </w:rPr>
  </w:style>
  <w:style w:type="character" w:styleId="Emphasis">
    <w:name w:val="Emphasis"/>
    <w:basedOn w:val="DefaultParagraphFont"/>
    <w:uiPriority w:val="20"/>
    <w:qFormat/>
    <w:rsid w:val="003A10E9"/>
    <w:rPr>
      <w:rFonts w:asciiTheme="minorHAnsi" w:hAnsiTheme="minorHAnsi"/>
      <w:b/>
      <w:i/>
      <w:iCs/>
    </w:rPr>
  </w:style>
  <w:style w:type="paragraph" w:styleId="NoSpacing">
    <w:name w:val="No Spacing"/>
    <w:basedOn w:val="Normal"/>
    <w:uiPriority w:val="1"/>
    <w:qFormat/>
    <w:rsid w:val="003A10E9"/>
    <w:rPr>
      <w:szCs w:val="32"/>
    </w:rPr>
  </w:style>
  <w:style w:type="paragraph" w:styleId="ListParagraph">
    <w:name w:val="List Paragraph"/>
    <w:basedOn w:val="Normal"/>
    <w:uiPriority w:val="34"/>
    <w:qFormat/>
    <w:rsid w:val="003A10E9"/>
    <w:pPr>
      <w:ind w:left="720"/>
      <w:contextualSpacing/>
    </w:pPr>
  </w:style>
  <w:style w:type="paragraph" w:styleId="Quote">
    <w:name w:val="Quote"/>
    <w:basedOn w:val="Normal"/>
    <w:next w:val="Normal"/>
    <w:link w:val="QuoteChar"/>
    <w:uiPriority w:val="29"/>
    <w:qFormat/>
    <w:rsid w:val="003A10E9"/>
    <w:rPr>
      <w:i/>
    </w:rPr>
  </w:style>
  <w:style w:type="character" w:customStyle="1" w:styleId="QuoteChar">
    <w:name w:val="Quote Char"/>
    <w:basedOn w:val="DefaultParagraphFont"/>
    <w:link w:val="Quote"/>
    <w:uiPriority w:val="29"/>
    <w:rsid w:val="003A10E9"/>
    <w:rPr>
      <w:i/>
      <w:sz w:val="24"/>
      <w:szCs w:val="24"/>
    </w:rPr>
  </w:style>
  <w:style w:type="paragraph" w:styleId="IntenseQuote">
    <w:name w:val="Intense Quote"/>
    <w:basedOn w:val="Normal"/>
    <w:next w:val="Normal"/>
    <w:link w:val="IntenseQuoteChar"/>
    <w:uiPriority w:val="30"/>
    <w:qFormat/>
    <w:rsid w:val="003A10E9"/>
    <w:pPr>
      <w:ind w:left="720" w:right="720"/>
    </w:pPr>
    <w:rPr>
      <w:b/>
      <w:i/>
      <w:szCs w:val="22"/>
    </w:rPr>
  </w:style>
  <w:style w:type="character" w:customStyle="1" w:styleId="IntenseQuoteChar">
    <w:name w:val="Intense Quote Char"/>
    <w:basedOn w:val="DefaultParagraphFont"/>
    <w:link w:val="IntenseQuote"/>
    <w:uiPriority w:val="30"/>
    <w:rsid w:val="003A10E9"/>
    <w:rPr>
      <w:b/>
      <w:i/>
      <w:sz w:val="24"/>
    </w:rPr>
  </w:style>
  <w:style w:type="character" w:styleId="SubtleEmphasis">
    <w:name w:val="Subtle Emphasis"/>
    <w:uiPriority w:val="19"/>
    <w:qFormat/>
    <w:rsid w:val="003A10E9"/>
    <w:rPr>
      <w:i/>
      <w:color w:val="5A5A5A" w:themeColor="text1" w:themeTint="A5"/>
    </w:rPr>
  </w:style>
  <w:style w:type="character" w:styleId="IntenseEmphasis">
    <w:name w:val="Intense Emphasis"/>
    <w:basedOn w:val="DefaultParagraphFont"/>
    <w:uiPriority w:val="21"/>
    <w:qFormat/>
    <w:rsid w:val="003A10E9"/>
    <w:rPr>
      <w:b/>
      <w:i/>
      <w:sz w:val="24"/>
      <w:szCs w:val="24"/>
      <w:u w:val="single"/>
    </w:rPr>
  </w:style>
  <w:style w:type="character" w:styleId="SubtleReference">
    <w:name w:val="Subtle Reference"/>
    <w:basedOn w:val="DefaultParagraphFont"/>
    <w:uiPriority w:val="31"/>
    <w:qFormat/>
    <w:rsid w:val="003A10E9"/>
    <w:rPr>
      <w:sz w:val="24"/>
      <w:szCs w:val="24"/>
      <w:u w:val="single"/>
    </w:rPr>
  </w:style>
  <w:style w:type="character" w:styleId="IntenseReference">
    <w:name w:val="Intense Reference"/>
    <w:basedOn w:val="DefaultParagraphFont"/>
    <w:uiPriority w:val="32"/>
    <w:qFormat/>
    <w:rsid w:val="003A10E9"/>
    <w:rPr>
      <w:b/>
      <w:sz w:val="24"/>
      <w:u w:val="single"/>
    </w:rPr>
  </w:style>
  <w:style w:type="character" w:styleId="BookTitle">
    <w:name w:val="Book Title"/>
    <w:basedOn w:val="DefaultParagraphFont"/>
    <w:uiPriority w:val="33"/>
    <w:qFormat/>
    <w:rsid w:val="003A10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10E9"/>
    <w:pPr>
      <w:outlineLvl w:val="9"/>
    </w:pPr>
  </w:style>
  <w:style w:type="paragraph" w:styleId="Header">
    <w:name w:val="header"/>
    <w:basedOn w:val="Normal"/>
    <w:link w:val="HeaderChar"/>
    <w:uiPriority w:val="99"/>
    <w:unhideWhenUsed/>
    <w:rsid w:val="00954E33"/>
    <w:pPr>
      <w:tabs>
        <w:tab w:val="center" w:pos="4680"/>
        <w:tab w:val="right" w:pos="9360"/>
      </w:tabs>
    </w:pPr>
  </w:style>
  <w:style w:type="character" w:customStyle="1" w:styleId="HeaderChar">
    <w:name w:val="Header Char"/>
    <w:basedOn w:val="DefaultParagraphFont"/>
    <w:link w:val="Header"/>
    <w:uiPriority w:val="99"/>
    <w:rsid w:val="00954E33"/>
    <w:rPr>
      <w:rFonts w:ascii="Times New Roman" w:hAnsi="Times New Roman"/>
      <w:sz w:val="24"/>
      <w:szCs w:val="24"/>
    </w:rPr>
  </w:style>
  <w:style w:type="paragraph" w:styleId="Footer">
    <w:name w:val="footer"/>
    <w:basedOn w:val="Normal"/>
    <w:link w:val="FooterChar"/>
    <w:uiPriority w:val="99"/>
    <w:unhideWhenUsed/>
    <w:rsid w:val="00954E33"/>
    <w:pPr>
      <w:tabs>
        <w:tab w:val="center" w:pos="4680"/>
        <w:tab w:val="right" w:pos="9360"/>
      </w:tabs>
    </w:pPr>
  </w:style>
  <w:style w:type="character" w:customStyle="1" w:styleId="FooterChar">
    <w:name w:val="Footer Char"/>
    <w:basedOn w:val="DefaultParagraphFont"/>
    <w:link w:val="Footer"/>
    <w:uiPriority w:val="99"/>
    <w:rsid w:val="00954E33"/>
    <w:rPr>
      <w:rFonts w:ascii="Times New Roman" w:hAnsi="Times New Roman"/>
      <w:sz w:val="24"/>
      <w:szCs w:val="24"/>
    </w:rPr>
  </w:style>
  <w:style w:type="paragraph" w:styleId="FootnoteText">
    <w:name w:val="footnote text"/>
    <w:basedOn w:val="Normal"/>
    <w:link w:val="FootnoteTextChar"/>
    <w:uiPriority w:val="99"/>
    <w:unhideWhenUsed/>
    <w:rsid w:val="008E1CAA"/>
    <w:rPr>
      <w:sz w:val="20"/>
      <w:szCs w:val="20"/>
    </w:rPr>
  </w:style>
  <w:style w:type="character" w:customStyle="1" w:styleId="FootnoteTextChar">
    <w:name w:val="Footnote Text Char"/>
    <w:basedOn w:val="DefaultParagraphFont"/>
    <w:link w:val="FootnoteText"/>
    <w:uiPriority w:val="99"/>
    <w:rsid w:val="008E1CAA"/>
    <w:rPr>
      <w:rFonts w:ascii="Times New Roman" w:hAnsi="Times New Roman"/>
      <w:sz w:val="20"/>
      <w:szCs w:val="20"/>
    </w:rPr>
  </w:style>
  <w:style w:type="character" w:styleId="FootnoteReference">
    <w:name w:val="footnote reference"/>
    <w:basedOn w:val="DefaultParagraphFont"/>
    <w:uiPriority w:val="99"/>
    <w:semiHidden/>
    <w:unhideWhenUsed/>
    <w:rsid w:val="008E1CAA"/>
    <w:rPr>
      <w:vertAlign w:val="superscript"/>
    </w:rPr>
  </w:style>
  <w:style w:type="character" w:styleId="Hyperlink">
    <w:name w:val="Hyperlink"/>
    <w:basedOn w:val="DefaultParagraphFont"/>
    <w:uiPriority w:val="99"/>
    <w:unhideWhenUsed/>
    <w:rsid w:val="008E1CAA"/>
    <w:rPr>
      <w:color w:val="0000FF" w:themeColor="hyperlink"/>
      <w:u w:val="single"/>
    </w:rPr>
  </w:style>
  <w:style w:type="paragraph" w:customStyle="1" w:styleId="OutlineLevel1">
    <w:name w:val="Outline Level 1"/>
    <w:basedOn w:val="ListParagraph"/>
    <w:link w:val="OutlineLevel1Char"/>
    <w:qFormat/>
    <w:rsid w:val="0019250B"/>
    <w:pPr>
      <w:numPr>
        <w:numId w:val="3"/>
      </w:numPr>
      <w:spacing w:after="120"/>
      <w:ind w:left="720"/>
      <w:contextualSpacing w:val="0"/>
    </w:pPr>
    <w:rPr>
      <w:rFonts w:ascii="Calibri" w:hAnsi="Calibri"/>
      <w:b/>
      <w:sz w:val="28"/>
    </w:rPr>
  </w:style>
  <w:style w:type="paragraph" w:customStyle="1" w:styleId="OutlineLevel2">
    <w:name w:val="Outline Level 2"/>
    <w:basedOn w:val="OutlineLevel1"/>
    <w:link w:val="OutlineLevel2Char"/>
    <w:qFormat/>
    <w:rsid w:val="0019250B"/>
    <w:pPr>
      <w:numPr>
        <w:ilvl w:val="1"/>
      </w:numPr>
      <w:ind w:left="1080"/>
    </w:pPr>
    <w:rPr>
      <w:b w:val="0"/>
      <w:i/>
      <w:sz w:val="24"/>
    </w:rPr>
  </w:style>
  <w:style w:type="character" w:customStyle="1" w:styleId="OutlineLevel1Char">
    <w:name w:val="Outline Level 1 Char"/>
    <w:basedOn w:val="DefaultParagraphFont"/>
    <w:link w:val="OutlineLevel1"/>
    <w:rsid w:val="0019250B"/>
    <w:rPr>
      <w:rFonts w:ascii="Calibri" w:hAnsi="Calibri"/>
      <w:b/>
      <w:sz w:val="28"/>
      <w:szCs w:val="24"/>
    </w:rPr>
  </w:style>
  <w:style w:type="paragraph" w:customStyle="1" w:styleId="OutlineLevel3">
    <w:name w:val="Outline Level 3"/>
    <w:basedOn w:val="OutlineLevel2"/>
    <w:link w:val="OutlineLevel3Char"/>
    <w:qFormat/>
    <w:rsid w:val="00F420DD"/>
    <w:pPr>
      <w:numPr>
        <w:ilvl w:val="2"/>
      </w:numPr>
      <w:ind w:left="1800" w:hanging="360"/>
    </w:pPr>
    <w:rPr>
      <w:i w:val="0"/>
      <w:sz w:val="22"/>
    </w:rPr>
  </w:style>
  <w:style w:type="character" w:customStyle="1" w:styleId="OutlineLevel2Char">
    <w:name w:val="Outline Level 2 Char"/>
    <w:basedOn w:val="OutlineLevel1Char"/>
    <w:link w:val="OutlineLevel2"/>
    <w:rsid w:val="0019250B"/>
    <w:rPr>
      <w:rFonts w:ascii="Calibri" w:hAnsi="Calibri"/>
      <w:b w:val="0"/>
      <w:i/>
      <w:sz w:val="24"/>
      <w:szCs w:val="24"/>
    </w:rPr>
  </w:style>
  <w:style w:type="character" w:customStyle="1" w:styleId="OutlineLevel3Char">
    <w:name w:val="Outline Level 3 Char"/>
    <w:basedOn w:val="OutlineLevel2Char"/>
    <w:link w:val="OutlineLevel3"/>
    <w:rsid w:val="00F420DD"/>
    <w:rPr>
      <w:rFonts w:ascii="Calibri" w:hAnsi="Calibri"/>
      <w:b w:val="0"/>
      <w:i w:val="0"/>
      <w:sz w:val="24"/>
      <w:szCs w:val="24"/>
    </w:rPr>
  </w:style>
  <w:style w:type="paragraph" w:customStyle="1" w:styleId="OutlineLevel4">
    <w:name w:val="Outline Level 4"/>
    <w:basedOn w:val="OutlineLevel3"/>
    <w:link w:val="OutlineLevel4Char"/>
    <w:qFormat/>
    <w:rsid w:val="002D336E"/>
    <w:pPr>
      <w:numPr>
        <w:ilvl w:val="3"/>
      </w:numPr>
      <w:ind w:left="2520"/>
    </w:pPr>
  </w:style>
  <w:style w:type="character" w:customStyle="1" w:styleId="OutlineLevel4Char">
    <w:name w:val="Outline Level 4 Char"/>
    <w:basedOn w:val="OutlineLevel3Char"/>
    <w:link w:val="OutlineLevel4"/>
    <w:rsid w:val="002D336E"/>
    <w:rPr>
      <w:rFonts w:ascii="Calibri" w:hAnsi="Calibri"/>
      <w:b w:val="0"/>
      <w:i w:val="0"/>
      <w:sz w:val="24"/>
      <w:szCs w:val="24"/>
    </w:rPr>
  </w:style>
  <w:style w:type="paragraph" w:customStyle="1" w:styleId="OutlineLevel5">
    <w:name w:val="Outline Level 5"/>
    <w:basedOn w:val="OutlineLevel4"/>
    <w:link w:val="OutlineLevel5Char"/>
    <w:qFormat/>
    <w:rsid w:val="00354505"/>
    <w:pPr>
      <w:numPr>
        <w:ilvl w:val="4"/>
      </w:numPr>
      <w:ind w:left="3240"/>
    </w:pPr>
  </w:style>
  <w:style w:type="character" w:styleId="FollowedHyperlink">
    <w:name w:val="FollowedHyperlink"/>
    <w:basedOn w:val="DefaultParagraphFont"/>
    <w:uiPriority w:val="99"/>
    <w:semiHidden/>
    <w:unhideWhenUsed/>
    <w:rsid w:val="003F57B1"/>
    <w:rPr>
      <w:color w:val="800080" w:themeColor="followedHyperlink"/>
      <w:u w:val="single"/>
    </w:rPr>
  </w:style>
  <w:style w:type="character" w:customStyle="1" w:styleId="OutlineLevel5Char">
    <w:name w:val="Outline Level 5 Char"/>
    <w:basedOn w:val="OutlineLevel4Char"/>
    <w:link w:val="OutlineLevel5"/>
    <w:rsid w:val="00354505"/>
    <w:rPr>
      <w:rFonts w:ascii="Calibri" w:hAnsi="Calibri"/>
      <w:b w:val="0"/>
      <w:i w:val="0"/>
      <w:sz w:val="24"/>
      <w:szCs w:val="24"/>
    </w:rPr>
  </w:style>
  <w:style w:type="character" w:styleId="CommentReference">
    <w:name w:val="annotation reference"/>
    <w:basedOn w:val="DefaultParagraphFont"/>
    <w:uiPriority w:val="99"/>
    <w:semiHidden/>
    <w:unhideWhenUsed/>
    <w:rsid w:val="005B43DC"/>
    <w:rPr>
      <w:sz w:val="16"/>
      <w:szCs w:val="16"/>
    </w:rPr>
  </w:style>
  <w:style w:type="paragraph" w:customStyle="1" w:styleId="OutlineFootnotes">
    <w:name w:val="Outline Footnotes"/>
    <w:basedOn w:val="FootnoteText"/>
    <w:link w:val="OutlineFootnotesChar"/>
    <w:qFormat/>
    <w:rsid w:val="003E4049"/>
    <w:rPr>
      <w:rFonts w:asciiTheme="minorHAnsi" w:hAnsiTheme="minorHAnsi"/>
      <w:sz w:val="18"/>
      <w:szCs w:val="18"/>
    </w:rPr>
  </w:style>
  <w:style w:type="character" w:customStyle="1" w:styleId="OutlineFootnotesChar">
    <w:name w:val="Outline Footnotes Char"/>
    <w:basedOn w:val="FootnoteTextChar"/>
    <w:link w:val="OutlineFootnotes"/>
    <w:rsid w:val="003E4049"/>
    <w:rPr>
      <w:rFonts w:ascii="Times New Roman" w:hAnsi="Times New Roman"/>
      <w:sz w:val="18"/>
      <w:szCs w:val="18"/>
    </w:rPr>
  </w:style>
  <w:style w:type="paragraph" w:styleId="CommentText">
    <w:name w:val="annotation text"/>
    <w:basedOn w:val="Normal"/>
    <w:link w:val="CommentTextChar"/>
    <w:uiPriority w:val="99"/>
    <w:semiHidden/>
    <w:unhideWhenUsed/>
    <w:rsid w:val="005B43DC"/>
    <w:rPr>
      <w:sz w:val="20"/>
      <w:szCs w:val="20"/>
    </w:rPr>
  </w:style>
  <w:style w:type="character" w:customStyle="1" w:styleId="CommentTextChar">
    <w:name w:val="Comment Text Char"/>
    <w:basedOn w:val="DefaultParagraphFont"/>
    <w:link w:val="CommentText"/>
    <w:uiPriority w:val="99"/>
    <w:semiHidden/>
    <w:rsid w:val="005B43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3DC"/>
    <w:rPr>
      <w:b/>
      <w:bCs/>
    </w:rPr>
  </w:style>
  <w:style w:type="character" w:customStyle="1" w:styleId="CommentSubjectChar">
    <w:name w:val="Comment Subject Char"/>
    <w:basedOn w:val="CommentTextChar"/>
    <w:link w:val="CommentSubject"/>
    <w:uiPriority w:val="99"/>
    <w:semiHidden/>
    <w:rsid w:val="005B43DC"/>
    <w:rPr>
      <w:rFonts w:ascii="Times New Roman" w:hAnsi="Times New Roman"/>
      <w:b/>
      <w:bCs/>
      <w:sz w:val="20"/>
      <w:szCs w:val="20"/>
    </w:rPr>
  </w:style>
  <w:style w:type="paragraph" w:styleId="BalloonText">
    <w:name w:val="Balloon Text"/>
    <w:basedOn w:val="Normal"/>
    <w:link w:val="BalloonTextChar"/>
    <w:uiPriority w:val="99"/>
    <w:semiHidden/>
    <w:unhideWhenUsed/>
    <w:rsid w:val="005B43DC"/>
    <w:rPr>
      <w:rFonts w:ascii="Tahoma" w:hAnsi="Tahoma" w:cs="Tahoma"/>
      <w:sz w:val="16"/>
      <w:szCs w:val="16"/>
    </w:rPr>
  </w:style>
  <w:style w:type="character" w:customStyle="1" w:styleId="BalloonTextChar">
    <w:name w:val="Balloon Text Char"/>
    <w:basedOn w:val="DefaultParagraphFont"/>
    <w:link w:val="BalloonText"/>
    <w:uiPriority w:val="99"/>
    <w:semiHidden/>
    <w:rsid w:val="005B4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E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3A10E9"/>
    <w:pPr>
      <w:keepNext/>
      <w:numPr>
        <w:numId w:val="2"/>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A10E9"/>
    <w:pPr>
      <w:keepNext/>
      <w:numPr>
        <w:ilvl w:val="1"/>
        <w:numId w:val="2"/>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A10E9"/>
    <w:pPr>
      <w:keepNext/>
      <w:numPr>
        <w:ilvl w:val="2"/>
        <w:numId w:val="2"/>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A10E9"/>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unhideWhenUsed/>
    <w:qFormat/>
    <w:rsid w:val="003A10E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A10E9"/>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10E9"/>
    <w:pPr>
      <w:numPr>
        <w:ilvl w:val="6"/>
        <w:numId w:val="2"/>
      </w:numPr>
      <w:spacing w:before="240" w:after="60"/>
      <w:outlineLvl w:val="6"/>
    </w:pPr>
  </w:style>
  <w:style w:type="paragraph" w:styleId="Heading8">
    <w:name w:val="heading 8"/>
    <w:basedOn w:val="Normal"/>
    <w:next w:val="Normal"/>
    <w:link w:val="Heading8Char"/>
    <w:uiPriority w:val="9"/>
    <w:semiHidden/>
    <w:unhideWhenUsed/>
    <w:qFormat/>
    <w:rsid w:val="003A10E9"/>
    <w:pPr>
      <w:numPr>
        <w:ilvl w:val="7"/>
        <w:numId w:val="2"/>
      </w:numPr>
      <w:spacing w:before="240" w:after="60"/>
      <w:outlineLvl w:val="7"/>
    </w:pPr>
    <w:rPr>
      <w:i/>
      <w:iCs/>
    </w:rPr>
  </w:style>
  <w:style w:type="paragraph" w:styleId="Heading9">
    <w:name w:val="heading 9"/>
    <w:basedOn w:val="Normal"/>
    <w:next w:val="Normal"/>
    <w:link w:val="Heading9Char"/>
    <w:uiPriority w:val="9"/>
    <w:semiHidden/>
    <w:unhideWhenUsed/>
    <w:qFormat/>
    <w:rsid w:val="003A10E9"/>
    <w:pPr>
      <w:numPr>
        <w:ilvl w:val="8"/>
        <w:numId w:val="2"/>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0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A10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A10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10E9"/>
    <w:rPr>
      <w:rFonts w:ascii="Times New Roman" w:hAnsi="Times New Roman"/>
      <w:b/>
      <w:bCs/>
      <w:sz w:val="28"/>
      <w:szCs w:val="28"/>
    </w:rPr>
  </w:style>
  <w:style w:type="character" w:customStyle="1" w:styleId="Heading5Char">
    <w:name w:val="Heading 5 Char"/>
    <w:basedOn w:val="DefaultParagraphFont"/>
    <w:link w:val="Heading5"/>
    <w:uiPriority w:val="9"/>
    <w:rsid w:val="003A10E9"/>
    <w:rPr>
      <w:rFonts w:ascii="Times New Roman" w:hAnsi="Times New Roman"/>
      <w:b/>
      <w:bCs/>
      <w:i/>
      <w:iCs/>
      <w:sz w:val="26"/>
      <w:szCs w:val="26"/>
    </w:rPr>
  </w:style>
  <w:style w:type="character" w:customStyle="1" w:styleId="Heading6Char">
    <w:name w:val="Heading 6 Char"/>
    <w:basedOn w:val="DefaultParagraphFont"/>
    <w:link w:val="Heading6"/>
    <w:uiPriority w:val="9"/>
    <w:rsid w:val="003A10E9"/>
    <w:rPr>
      <w:rFonts w:ascii="Times New Roman" w:hAnsi="Times New Roman"/>
      <w:b/>
      <w:bCs/>
    </w:rPr>
  </w:style>
  <w:style w:type="character" w:customStyle="1" w:styleId="Heading7Char">
    <w:name w:val="Heading 7 Char"/>
    <w:basedOn w:val="DefaultParagraphFont"/>
    <w:link w:val="Heading7"/>
    <w:uiPriority w:val="9"/>
    <w:semiHidden/>
    <w:rsid w:val="003A10E9"/>
    <w:rPr>
      <w:rFonts w:ascii="Times New Roman" w:hAnsi="Times New Roman"/>
      <w:sz w:val="24"/>
      <w:szCs w:val="24"/>
    </w:rPr>
  </w:style>
  <w:style w:type="character" w:customStyle="1" w:styleId="Heading8Char">
    <w:name w:val="Heading 8 Char"/>
    <w:basedOn w:val="DefaultParagraphFont"/>
    <w:link w:val="Heading8"/>
    <w:uiPriority w:val="9"/>
    <w:semiHidden/>
    <w:rsid w:val="003A10E9"/>
    <w:rPr>
      <w:rFonts w:ascii="Times New Roman" w:hAnsi="Times New Roman"/>
      <w:i/>
      <w:iCs/>
      <w:sz w:val="24"/>
      <w:szCs w:val="24"/>
    </w:rPr>
  </w:style>
  <w:style w:type="character" w:customStyle="1" w:styleId="Heading9Char">
    <w:name w:val="Heading 9 Char"/>
    <w:basedOn w:val="DefaultParagraphFont"/>
    <w:link w:val="Heading9"/>
    <w:uiPriority w:val="9"/>
    <w:semiHidden/>
    <w:rsid w:val="003A10E9"/>
    <w:rPr>
      <w:rFonts w:asciiTheme="majorHAnsi" w:eastAsiaTheme="majorEastAsia" w:hAnsiTheme="majorHAnsi"/>
    </w:rPr>
  </w:style>
  <w:style w:type="paragraph" w:styleId="Title">
    <w:name w:val="Title"/>
    <w:basedOn w:val="Normal"/>
    <w:next w:val="Normal"/>
    <w:link w:val="TitleChar"/>
    <w:uiPriority w:val="10"/>
    <w:qFormat/>
    <w:rsid w:val="003A10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10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10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10E9"/>
    <w:rPr>
      <w:rFonts w:asciiTheme="majorHAnsi" w:eastAsiaTheme="majorEastAsia" w:hAnsiTheme="majorHAnsi"/>
      <w:sz w:val="24"/>
      <w:szCs w:val="24"/>
    </w:rPr>
  </w:style>
  <w:style w:type="character" w:styleId="Strong">
    <w:name w:val="Strong"/>
    <w:basedOn w:val="DefaultParagraphFont"/>
    <w:uiPriority w:val="22"/>
    <w:qFormat/>
    <w:rsid w:val="003A10E9"/>
    <w:rPr>
      <w:b/>
      <w:bCs/>
    </w:rPr>
  </w:style>
  <w:style w:type="character" w:styleId="Emphasis">
    <w:name w:val="Emphasis"/>
    <w:basedOn w:val="DefaultParagraphFont"/>
    <w:uiPriority w:val="20"/>
    <w:qFormat/>
    <w:rsid w:val="003A10E9"/>
    <w:rPr>
      <w:rFonts w:asciiTheme="minorHAnsi" w:hAnsiTheme="minorHAnsi"/>
      <w:b/>
      <w:i/>
      <w:iCs/>
    </w:rPr>
  </w:style>
  <w:style w:type="paragraph" w:styleId="NoSpacing">
    <w:name w:val="No Spacing"/>
    <w:basedOn w:val="Normal"/>
    <w:uiPriority w:val="1"/>
    <w:qFormat/>
    <w:rsid w:val="003A10E9"/>
    <w:rPr>
      <w:szCs w:val="32"/>
    </w:rPr>
  </w:style>
  <w:style w:type="paragraph" w:styleId="ListParagraph">
    <w:name w:val="List Paragraph"/>
    <w:basedOn w:val="Normal"/>
    <w:uiPriority w:val="34"/>
    <w:qFormat/>
    <w:rsid w:val="003A10E9"/>
    <w:pPr>
      <w:ind w:left="720"/>
      <w:contextualSpacing/>
    </w:pPr>
  </w:style>
  <w:style w:type="paragraph" w:styleId="Quote">
    <w:name w:val="Quote"/>
    <w:basedOn w:val="Normal"/>
    <w:next w:val="Normal"/>
    <w:link w:val="QuoteChar"/>
    <w:uiPriority w:val="29"/>
    <w:qFormat/>
    <w:rsid w:val="003A10E9"/>
    <w:rPr>
      <w:i/>
    </w:rPr>
  </w:style>
  <w:style w:type="character" w:customStyle="1" w:styleId="QuoteChar">
    <w:name w:val="Quote Char"/>
    <w:basedOn w:val="DefaultParagraphFont"/>
    <w:link w:val="Quote"/>
    <w:uiPriority w:val="29"/>
    <w:rsid w:val="003A10E9"/>
    <w:rPr>
      <w:i/>
      <w:sz w:val="24"/>
      <w:szCs w:val="24"/>
    </w:rPr>
  </w:style>
  <w:style w:type="paragraph" w:styleId="IntenseQuote">
    <w:name w:val="Intense Quote"/>
    <w:basedOn w:val="Normal"/>
    <w:next w:val="Normal"/>
    <w:link w:val="IntenseQuoteChar"/>
    <w:uiPriority w:val="30"/>
    <w:qFormat/>
    <w:rsid w:val="003A10E9"/>
    <w:pPr>
      <w:ind w:left="720" w:right="720"/>
    </w:pPr>
    <w:rPr>
      <w:b/>
      <w:i/>
      <w:szCs w:val="22"/>
    </w:rPr>
  </w:style>
  <w:style w:type="character" w:customStyle="1" w:styleId="IntenseQuoteChar">
    <w:name w:val="Intense Quote Char"/>
    <w:basedOn w:val="DefaultParagraphFont"/>
    <w:link w:val="IntenseQuote"/>
    <w:uiPriority w:val="30"/>
    <w:rsid w:val="003A10E9"/>
    <w:rPr>
      <w:b/>
      <w:i/>
      <w:sz w:val="24"/>
    </w:rPr>
  </w:style>
  <w:style w:type="character" w:styleId="SubtleEmphasis">
    <w:name w:val="Subtle Emphasis"/>
    <w:uiPriority w:val="19"/>
    <w:qFormat/>
    <w:rsid w:val="003A10E9"/>
    <w:rPr>
      <w:i/>
      <w:color w:val="5A5A5A" w:themeColor="text1" w:themeTint="A5"/>
    </w:rPr>
  </w:style>
  <w:style w:type="character" w:styleId="IntenseEmphasis">
    <w:name w:val="Intense Emphasis"/>
    <w:basedOn w:val="DefaultParagraphFont"/>
    <w:uiPriority w:val="21"/>
    <w:qFormat/>
    <w:rsid w:val="003A10E9"/>
    <w:rPr>
      <w:b/>
      <w:i/>
      <w:sz w:val="24"/>
      <w:szCs w:val="24"/>
      <w:u w:val="single"/>
    </w:rPr>
  </w:style>
  <w:style w:type="character" w:styleId="SubtleReference">
    <w:name w:val="Subtle Reference"/>
    <w:basedOn w:val="DefaultParagraphFont"/>
    <w:uiPriority w:val="31"/>
    <w:qFormat/>
    <w:rsid w:val="003A10E9"/>
    <w:rPr>
      <w:sz w:val="24"/>
      <w:szCs w:val="24"/>
      <w:u w:val="single"/>
    </w:rPr>
  </w:style>
  <w:style w:type="character" w:styleId="IntenseReference">
    <w:name w:val="Intense Reference"/>
    <w:basedOn w:val="DefaultParagraphFont"/>
    <w:uiPriority w:val="32"/>
    <w:qFormat/>
    <w:rsid w:val="003A10E9"/>
    <w:rPr>
      <w:b/>
      <w:sz w:val="24"/>
      <w:u w:val="single"/>
    </w:rPr>
  </w:style>
  <w:style w:type="character" w:styleId="BookTitle">
    <w:name w:val="Book Title"/>
    <w:basedOn w:val="DefaultParagraphFont"/>
    <w:uiPriority w:val="33"/>
    <w:qFormat/>
    <w:rsid w:val="003A10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10E9"/>
    <w:pPr>
      <w:outlineLvl w:val="9"/>
    </w:pPr>
  </w:style>
  <w:style w:type="paragraph" w:styleId="Header">
    <w:name w:val="header"/>
    <w:basedOn w:val="Normal"/>
    <w:link w:val="HeaderChar"/>
    <w:uiPriority w:val="99"/>
    <w:unhideWhenUsed/>
    <w:rsid w:val="00954E33"/>
    <w:pPr>
      <w:tabs>
        <w:tab w:val="center" w:pos="4680"/>
        <w:tab w:val="right" w:pos="9360"/>
      </w:tabs>
    </w:pPr>
  </w:style>
  <w:style w:type="character" w:customStyle="1" w:styleId="HeaderChar">
    <w:name w:val="Header Char"/>
    <w:basedOn w:val="DefaultParagraphFont"/>
    <w:link w:val="Header"/>
    <w:uiPriority w:val="99"/>
    <w:rsid w:val="00954E33"/>
    <w:rPr>
      <w:rFonts w:ascii="Times New Roman" w:hAnsi="Times New Roman"/>
      <w:sz w:val="24"/>
      <w:szCs w:val="24"/>
    </w:rPr>
  </w:style>
  <w:style w:type="paragraph" w:styleId="Footer">
    <w:name w:val="footer"/>
    <w:basedOn w:val="Normal"/>
    <w:link w:val="FooterChar"/>
    <w:uiPriority w:val="99"/>
    <w:unhideWhenUsed/>
    <w:rsid w:val="00954E33"/>
    <w:pPr>
      <w:tabs>
        <w:tab w:val="center" w:pos="4680"/>
        <w:tab w:val="right" w:pos="9360"/>
      </w:tabs>
    </w:pPr>
  </w:style>
  <w:style w:type="character" w:customStyle="1" w:styleId="FooterChar">
    <w:name w:val="Footer Char"/>
    <w:basedOn w:val="DefaultParagraphFont"/>
    <w:link w:val="Footer"/>
    <w:uiPriority w:val="99"/>
    <w:rsid w:val="00954E33"/>
    <w:rPr>
      <w:rFonts w:ascii="Times New Roman" w:hAnsi="Times New Roman"/>
      <w:sz w:val="24"/>
      <w:szCs w:val="24"/>
    </w:rPr>
  </w:style>
  <w:style w:type="paragraph" w:styleId="FootnoteText">
    <w:name w:val="footnote text"/>
    <w:basedOn w:val="Normal"/>
    <w:link w:val="FootnoteTextChar"/>
    <w:uiPriority w:val="99"/>
    <w:unhideWhenUsed/>
    <w:rsid w:val="008E1CAA"/>
    <w:rPr>
      <w:sz w:val="20"/>
      <w:szCs w:val="20"/>
    </w:rPr>
  </w:style>
  <w:style w:type="character" w:customStyle="1" w:styleId="FootnoteTextChar">
    <w:name w:val="Footnote Text Char"/>
    <w:basedOn w:val="DefaultParagraphFont"/>
    <w:link w:val="FootnoteText"/>
    <w:uiPriority w:val="99"/>
    <w:rsid w:val="008E1CAA"/>
    <w:rPr>
      <w:rFonts w:ascii="Times New Roman" w:hAnsi="Times New Roman"/>
      <w:sz w:val="20"/>
      <w:szCs w:val="20"/>
    </w:rPr>
  </w:style>
  <w:style w:type="character" w:styleId="FootnoteReference">
    <w:name w:val="footnote reference"/>
    <w:basedOn w:val="DefaultParagraphFont"/>
    <w:uiPriority w:val="99"/>
    <w:semiHidden/>
    <w:unhideWhenUsed/>
    <w:rsid w:val="008E1CAA"/>
    <w:rPr>
      <w:vertAlign w:val="superscript"/>
    </w:rPr>
  </w:style>
  <w:style w:type="character" w:styleId="Hyperlink">
    <w:name w:val="Hyperlink"/>
    <w:basedOn w:val="DefaultParagraphFont"/>
    <w:uiPriority w:val="99"/>
    <w:unhideWhenUsed/>
    <w:rsid w:val="008E1CAA"/>
    <w:rPr>
      <w:color w:val="0000FF" w:themeColor="hyperlink"/>
      <w:u w:val="single"/>
    </w:rPr>
  </w:style>
  <w:style w:type="paragraph" w:customStyle="1" w:styleId="OutlineLevel1">
    <w:name w:val="Outline Level 1"/>
    <w:basedOn w:val="ListParagraph"/>
    <w:link w:val="OutlineLevel1Char"/>
    <w:qFormat/>
    <w:rsid w:val="0019250B"/>
    <w:pPr>
      <w:numPr>
        <w:numId w:val="3"/>
      </w:numPr>
      <w:spacing w:after="120"/>
      <w:ind w:left="720"/>
      <w:contextualSpacing w:val="0"/>
    </w:pPr>
    <w:rPr>
      <w:rFonts w:ascii="Calibri" w:hAnsi="Calibri"/>
      <w:b/>
      <w:sz w:val="28"/>
    </w:rPr>
  </w:style>
  <w:style w:type="paragraph" w:customStyle="1" w:styleId="OutlineLevel2">
    <w:name w:val="Outline Level 2"/>
    <w:basedOn w:val="OutlineLevel1"/>
    <w:link w:val="OutlineLevel2Char"/>
    <w:qFormat/>
    <w:rsid w:val="0019250B"/>
    <w:pPr>
      <w:numPr>
        <w:ilvl w:val="1"/>
      </w:numPr>
      <w:ind w:left="1080"/>
    </w:pPr>
    <w:rPr>
      <w:b w:val="0"/>
      <w:i/>
      <w:sz w:val="24"/>
    </w:rPr>
  </w:style>
  <w:style w:type="character" w:customStyle="1" w:styleId="OutlineLevel1Char">
    <w:name w:val="Outline Level 1 Char"/>
    <w:basedOn w:val="DefaultParagraphFont"/>
    <w:link w:val="OutlineLevel1"/>
    <w:rsid w:val="0019250B"/>
    <w:rPr>
      <w:rFonts w:ascii="Calibri" w:hAnsi="Calibri"/>
      <w:b/>
      <w:sz w:val="28"/>
      <w:szCs w:val="24"/>
    </w:rPr>
  </w:style>
  <w:style w:type="paragraph" w:customStyle="1" w:styleId="OutlineLevel3">
    <w:name w:val="Outline Level 3"/>
    <w:basedOn w:val="OutlineLevel2"/>
    <w:link w:val="OutlineLevel3Char"/>
    <w:qFormat/>
    <w:rsid w:val="00F420DD"/>
    <w:pPr>
      <w:numPr>
        <w:ilvl w:val="2"/>
      </w:numPr>
      <w:ind w:left="1800" w:hanging="360"/>
    </w:pPr>
    <w:rPr>
      <w:i w:val="0"/>
      <w:sz w:val="22"/>
    </w:rPr>
  </w:style>
  <w:style w:type="character" w:customStyle="1" w:styleId="OutlineLevel2Char">
    <w:name w:val="Outline Level 2 Char"/>
    <w:basedOn w:val="OutlineLevel1Char"/>
    <w:link w:val="OutlineLevel2"/>
    <w:rsid w:val="0019250B"/>
    <w:rPr>
      <w:rFonts w:ascii="Calibri" w:hAnsi="Calibri"/>
      <w:b w:val="0"/>
      <w:i/>
      <w:sz w:val="24"/>
      <w:szCs w:val="24"/>
    </w:rPr>
  </w:style>
  <w:style w:type="character" w:customStyle="1" w:styleId="OutlineLevel3Char">
    <w:name w:val="Outline Level 3 Char"/>
    <w:basedOn w:val="OutlineLevel2Char"/>
    <w:link w:val="OutlineLevel3"/>
    <w:rsid w:val="00F420DD"/>
    <w:rPr>
      <w:rFonts w:ascii="Calibri" w:hAnsi="Calibri"/>
      <w:b w:val="0"/>
      <w:i w:val="0"/>
      <w:sz w:val="24"/>
      <w:szCs w:val="24"/>
    </w:rPr>
  </w:style>
  <w:style w:type="paragraph" w:customStyle="1" w:styleId="OutlineLevel4">
    <w:name w:val="Outline Level 4"/>
    <w:basedOn w:val="OutlineLevel3"/>
    <w:link w:val="OutlineLevel4Char"/>
    <w:qFormat/>
    <w:rsid w:val="002D336E"/>
    <w:pPr>
      <w:numPr>
        <w:ilvl w:val="3"/>
      </w:numPr>
      <w:ind w:left="2520"/>
    </w:pPr>
  </w:style>
  <w:style w:type="character" w:customStyle="1" w:styleId="OutlineLevel4Char">
    <w:name w:val="Outline Level 4 Char"/>
    <w:basedOn w:val="OutlineLevel3Char"/>
    <w:link w:val="OutlineLevel4"/>
    <w:rsid w:val="002D336E"/>
    <w:rPr>
      <w:rFonts w:ascii="Calibri" w:hAnsi="Calibri"/>
      <w:b w:val="0"/>
      <w:i w:val="0"/>
      <w:sz w:val="24"/>
      <w:szCs w:val="24"/>
    </w:rPr>
  </w:style>
  <w:style w:type="paragraph" w:customStyle="1" w:styleId="OutlineLevel5">
    <w:name w:val="Outline Level 5"/>
    <w:basedOn w:val="OutlineLevel4"/>
    <w:link w:val="OutlineLevel5Char"/>
    <w:qFormat/>
    <w:rsid w:val="00354505"/>
    <w:pPr>
      <w:numPr>
        <w:ilvl w:val="4"/>
      </w:numPr>
      <w:ind w:left="3240"/>
    </w:pPr>
  </w:style>
  <w:style w:type="character" w:styleId="FollowedHyperlink">
    <w:name w:val="FollowedHyperlink"/>
    <w:basedOn w:val="DefaultParagraphFont"/>
    <w:uiPriority w:val="99"/>
    <w:semiHidden/>
    <w:unhideWhenUsed/>
    <w:rsid w:val="003F57B1"/>
    <w:rPr>
      <w:color w:val="800080" w:themeColor="followedHyperlink"/>
      <w:u w:val="single"/>
    </w:rPr>
  </w:style>
  <w:style w:type="character" w:customStyle="1" w:styleId="OutlineLevel5Char">
    <w:name w:val="Outline Level 5 Char"/>
    <w:basedOn w:val="OutlineLevel4Char"/>
    <w:link w:val="OutlineLevel5"/>
    <w:rsid w:val="00354505"/>
    <w:rPr>
      <w:rFonts w:ascii="Calibri" w:hAnsi="Calibri"/>
      <w:b w:val="0"/>
      <w:i w:val="0"/>
      <w:sz w:val="24"/>
      <w:szCs w:val="24"/>
    </w:rPr>
  </w:style>
  <w:style w:type="character" w:styleId="CommentReference">
    <w:name w:val="annotation reference"/>
    <w:basedOn w:val="DefaultParagraphFont"/>
    <w:uiPriority w:val="99"/>
    <w:semiHidden/>
    <w:unhideWhenUsed/>
    <w:rsid w:val="005B43DC"/>
    <w:rPr>
      <w:sz w:val="16"/>
      <w:szCs w:val="16"/>
    </w:rPr>
  </w:style>
  <w:style w:type="paragraph" w:customStyle="1" w:styleId="OutlineFootnotes">
    <w:name w:val="Outline Footnotes"/>
    <w:basedOn w:val="FootnoteText"/>
    <w:link w:val="OutlineFootnotesChar"/>
    <w:qFormat/>
    <w:rsid w:val="003E4049"/>
    <w:rPr>
      <w:rFonts w:asciiTheme="minorHAnsi" w:hAnsiTheme="minorHAnsi"/>
      <w:sz w:val="18"/>
      <w:szCs w:val="18"/>
    </w:rPr>
  </w:style>
  <w:style w:type="character" w:customStyle="1" w:styleId="OutlineFootnotesChar">
    <w:name w:val="Outline Footnotes Char"/>
    <w:basedOn w:val="FootnoteTextChar"/>
    <w:link w:val="OutlineFootnotes"/>
    <w:rsid w:val="003E4049"/>
    <w:rPr>
      <w:rFonts w:ascii="Times New Roman" w:hAnsi="Times New Roman"/>
      <w:sz w:val="18"/>
      <w:szCs w:val="18"/>
    </w:rPr>
  </w:style>
  <w:style w:type="paragraph" w:styleId="CommentText">
    <w:name w:val="annotation text"/>
    <w:basedOn w:val="Normal"/>
    <w:link w:val="CommentTextChar"/>
    <w:uiPriority w:val="99"/>
    <w:semiHidden/>
    <w:unhideWhenUsed/>
    <w:rsid w:val="005B43DC"/>
    <w:rPr>
      <w:sz w:val="20"/>
      <w:szCs w:val="20"/>
    </w:rPr>
  </w:style>
  <w:style w:type="character" w:customStyle="1" w:styleId="CommentTextChar">
    <w:name w:val="Comment Text Char"/>
    <w:basedOn w:val="DefaultParagraphFont"/>
    <w:link w:val="CommentText"/>
    <w:uiPriority w:val="99"/>
    <w:semiHidden/>
    <w:rsid w:val="005B43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B43DC"/>
    <w:rPr>
      <w:b/>
      <w:bCs/>
    </w:rPr>
  </w:style>
  <w:style w:type="character" w:customStyle="1" w:styleId="CommentSubjectChar">
    <w:name w:val="Comment Subject Char"/>
    <w:basedOn w:val="CommentTextChar"/>
    <w:link w:val="CommentSubject"/>
    <w:uiPriority w:val="99"/>
    <w:semiHidden/>
    <w:rsid w:val="005B43DC"/>
    <w:rPr>
      <w:rFonts w:ascii="Times New Roman" w:hAnsi="Times New Roman"/>
      <w:b/>
      <w:bCs/>
      <w:sz w:val="20"/>
      <w:szCs w:val="20"/>
    </w:rPr>
  </w:style>
  <w:style w:type="paragraph" w:styleId="BalloonText">
    <w:name w:val="Balloon Text"/>
    <w:basedOn w:val="Normal"/>
    <w:link w:val="BalloonTextChar"/>
    <w:uiPriority w:val="99"/>
    <w:semiHidden/>
    <w:unhideWhenUsed/>
    <w:rsid w:val="005B43DC"/>
    <w:rPr>
      <w:rFonts w:ascii="Tahoma" w:hAnsi="Tahoma" w:cs="Tahoma"/>
      <w:sz w:val="16"/>
      <w:szCs w:val="16"/>
    </w:rPr>
  </w:style>
  <w:style w:type="character" w:customStyle="1" w:styleId="BalloonTextChar">
    <w:name w:val="Balloon Text Char"/>
    <w:basedOn w:val="DefaultParagraphFont"/>
    <w:link w:val="BalloonText"/>
    <w:uiPriority w:val="99"/>
    <w:semiHidden/>
    <w:rsid w:val="005B4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1.xml" />
  <Relationship Id="rId18" Type="http://schemas.openxmlformats.org/officeDocument/2006/relationships/footer" Target="foot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image" Target="media/image4.png" />
  <Relationship Id="rId17"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footer" Target="footer2.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image" Target="media/image3.png" />
  <Relationship Id="rId5" Type="http://schemas.openxmlformats.org/officeDocument/2006/relationships/settings" Target="settings.xml" />
  <Relationship Id="rId15" Type="http://schemas.openxmlformats.org/officeDocument/2006/relationships/footer" Target="footer1.xml" />
  <Relationship Id="rId10" Type="http://schemas.openxmlformats.org/officeDocument/2006/relationships/image" Target="media/image2.png"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image" Target="media/image1.png" />
  <Relationship Id="rId14" Type="http://schemas.openxmlformats.org/officeDocument/2006/relationships/header" Target="header2.xml" />
</Relationships>
</file>

<file path=word/_rels/footnotes.xml.rels>&#65279;<?xml version="1.0" encoding="UTF-8" standalone="yes"?>
<Relationships xmlns="http://schemas.openxmlformats.org/package/2006/relationships">
  <Relationship Id="rId8" Type="http://schemas.openxmlformats.org/officeDocument/2006/relationships/hyperlink" Target="http://www.ncleg.net/EnactedLegislation/Statutes/HTML/BySection/Chapter_58/GS_58-67-110.html" TargetMode="External" />
  <Relationship Id="rId13" Type="http://schemas.openxmlformats.org/officeDocument/2006/relationships/hyperlink" Target="http://www.gpo.gov/fdsys/pkg/FR-2011-11-02/pdf/2011-27461.pdf" TargetMode="External" />
  <Relationship Id="rId18" Type="http://schemas.openxmlformats.org/officeDocument/2006/relationships/hyperlink" Target="http://www.law.cornell.edu/cfr/text/42/422.208" TargetMode="External" />
  <Relationship Id="rId26" Type="http://schemas.openxmlformats.org/officeDocument/2006/relationships/hyperlink" Target="http://www.ncleg.net/EnactedLegislation/Statutes/HTML/BySection/Chapter_131E/GS_131E-286.html" TargetMode="External" />
  <Relationship Id="rId3" Type="http://schemas.openxmlformats.org/officeDocument/2006/relationships/hyperlink" Target="http://www.ncleg.net/EnactedLegislation/Statutes/HTML/BySection/Chapter_58/GS_58-1-10.html" TargetMode="External" />
  <Relationship Id="rId21" Type="http://schemas.openxmlformats.org/officeDocument/2006/relationships/hyperlink" Target="http://www.law.cornell.edu/uscode/text/42/1395w-25" TargetMode="External" />
  <Relationship Id="rId34" Type="http://schemas.openxmlformats.org/officeDocument/2006/relationships/hyperlink" Target="http://www.mass.gov/ocabr/docs/doi/legal-hearings/211-155.pdf" TargetMode="External" />
  <Relationship Id="rId7" Type="http://schemas.openxmlformats.org/officeDocument/2006/relationships/hyperlink" Target="http://www.ncleg.net/EnactedLegislation/Statutes/HTML/BySection/Chapter_58/GS_58-67-25.html" TargetMode="External" />
  <Relationship Id="rId12" Type="http://schemas.openxmlformats.org/officeDocument/2006/relationships/hyperlink" Target="http://www.law.cornell.edu/cfr/text/42/425.606" TargetMode="External" />
  <Relationship Id="rId17" Type="http://schemas.openxmlformats.org/officeDocument/2006/relationships/hyperlink" Target="http://www.law.cornell.edu/cfr/text/42/422.208" TargetMode="External" />
  <Relationship Id="rId25" Type="http://schemas.openxmlformats.org/officeDocument/2006/relationships/hyperlink" Target="http://www.ncleg.net/EnactedLegislation/Statutes/HTML/BySection/Chapter_131E/GS_131E-282.html" TargetMode="External" />
  <Relationship Id="rId33" Type="http://schemas.openxmlformats.org/officeDocument/2006/relationships/hyperlink" Target="http://www.mass.gov/ocabr/docs/doi/legal-hearings/211-155.pdf" TargetMode="External" />
  <Relationship Id="rId2" Type="http://schemas.openxmlformats.org/officeDocument/2006/relationships/hyperlink" Target="http://www.ncleg.net/Sessions/2013/Bills/House/PDF/H1181v6.pdf" TargetMode="External" />
  <Relationship Id="rId16" Type="http://schemas.openxmlformats.org/officeDocument/2006/relationships/hyperlink" Target="http://innovation.cms.gov/Files/x/Pioneer-ACO-Model-Request-For-Applications-document.pdf" TargetMode="External" />
  <Relationship Id="rId20" Type="http://schemas.openxmlformats.org/officeDocument/2006/relationships/hyperlink" Target="http://www.law.cornell.edu/uscode/text/42/1395w-23" TargetMode="External" />
  <Relationship Id="rId29" Type="http://schemas.openxmlformats.org/officeDocument/2006/relationships/hyperlink" Target="https://malegislature.gov/Laws/GeneralLaws/PartI/TitleXXII/Chapter176T/Section1" TargetMode="External" />
  <Relationship Id="rId1" Type="http://schemas.openxmlformats.org/officeDocument/2006/relationships/hyperlink" Target="http://www.ncleg.net/Applications/BillLookUp/LoadBillDocument.aspx?SessionCode=2013&amp;DocNum=9332&amp;SeqNum=0" TargetMode="External" />
  <Relationship Id="rId6" Type="http://schemas.openxmlformats.org/officeDocument/2006/relationships/hyperlink" Target="http://www.ncleg.net/EnactedLegislation/Statutes/HTML/BySection/Chapter_58/GS_58-67-110.html" TargetMode="External" />
  <Relationship Id="rId11" Type="http://schemas.openxmlformats.org/officeDocument/2006/relationships/hyperlink" Target="http://www.ncleg.net/EnactedLegislation/Statutes/HTML/BySection/Chapter_58/GS_58-49-5.html" TargetMode="External" />
  <Relationship Id="rId24" Type="http://schemas.openxmlformats.org/officeDocument/2006/relationships/hyperlink" Target="http://www.ncleg.net/EnactedLegislation/Statutes/PDF/ByArticle/Chapter_131E/Article_17.pdf" TargetMode="External" />
  <Relationship Id="rId32" Type="http://schemas.openxmlformats.org/officeDocument/2006/relationships/hyperlink" Target="https://malegislature.gov/Laws/GeneralLaws/PartI/TitleXXII/Chapter176T/Section3" TargetMode="External" />
  <Relationship Id="rId37" Type="http://schemas.openxmlformats.org/officeDocument/2006/relationships/hyperlink" Target="https://www2.illinois.gov/hfs/SiteCollectionDocuments/060612mccn_finrules.pdf" TargetMode="External" />
  <Relationship Id="rId5" Type="http://schemas.openxmlformats.org/officeDocument/2006/relationships/hyperlink" Target="http://www.ncleg.net/EnactedLegislation/Statutes/HTML/BySection/Chapter_58/GS_58-67-5.html" TargetMode="External" />
  <Relationship Id="rId15" Type="http://schemas.openxmlformats.org/officeDocument/2006/relationships/hyperlink" Target="http://www.gpo.gov/fdsys/pkg/CFR-2013-title42-vol3/pdf/CFR-2013-title42-vol3-sec425-204.pdf" TargetMode="External" />
  <Relationship Id="rId23" Type="http://schemas.openxmlformats.org/officeDocument/2006/relationships/hyperlink" Target="http://www.law.cornell.edu/uscode/text/42/1395w-25" TargetMode="External" />
  <Relationship Id="rId28" Type="http://schemas.openxmlformats.org/officeDocument/2006/relationships/hyperlink" Target="http://www.ncleg.net/EnactedLegislation/Statutes/HTML/BySection/Chapter_131E/GS_131E-288.html" TargetMode="External" />
  <Relationship Id="rId36" Type="http://schemas.openxmlformats.org/officeDocument/2006/relationships/hyperlink" Target="http://www2.illinois.gov/hfs/SiteCollectionDocuments/HFS%20ACESolicitation_080113.pdf" TargetMode="External" />
  <Relationship Id="rId10" Type="http://schemas.openxmlformats.org/officeDocument/2006/relationships/hyperlink" Target="http://www.ncleg.net/EnactedLegislation/Statutes/HTML/BySection/Chapter_58/GS_58-67-10.html" TargetMode="External" />
  <Relationship Id="rId19" Type="http://schemas.openxmlformats.org/officeDocument/2006/relationships/hyperlink" Target="http://www.law.cornell.edu/uscode/text/42/1395w-22" TargetMode="External" />
  <Relationship Id="rId31" Type="http://schemas.openxmlformats.org/officeDocument/2006/relationships/hyperlink" Target="https://malegislature.gov/Laws/GeneralLaws/PartI/TitleXXII/Chapter176T/Section2" TargetMode="External" />
  <Relationship Id="rId4" Type="http://schemas.openxmlformats.org/officeDocument/2006/relationships/hyperlink" Target="http://www.ncdoj.gov/About-DOJ/Legal-Services/Legal-Opinions/Opinions/278.aspx" TargetMode="External" />
  <Relationship Id="rId9" Type="http://schemas.openxmlformats.org/officeDocument/2006/relationships/hyperlink" Target="http://www.ncleg.net/EnactedLegislation/Statutes/HTML/BySection/Chapter_58/GS_58-67-110.html" TargetMode="External" />
  <Relationship Id="rId14" Type="http://schemas.openxmlformats.org/officeDocument/2006/relationships/hyperlink" Target="http://www.gpo.gov/fdsys/pkg/CFR-2013-title42-vol3/pdf/CFR-2013-title42-vol3-sec425-204.pdf" TargetMode="External" />
  <Relationship Id="rId22" Type="http://schemas.openxmlformats.org/officeDocument/2006/relationships/hyperlink" Target="http://www.law.cornell.edu/cfr/text/42/part-422/subpart-H" TargetMode="External" />
  <Relationship Id="rId27" Type="http://schemas.openxmlformats.org/officeDocument/2006/relationships/hyperlink" Target="http://www.ncleg.net/EnactedLegislation/Statutes/HTML/BySection/Chapter_131E/GS_131E-282.html" TargetMode="External" />
  <Relationship Id="rId30" Type="http://schemas.openxmlformats.org/officeDocument/2006/relationships/hyperlink" Target="http://www.mass.gov/ocabr/docs/doi/legal-hearings/211-155.pdf" TargetMode="External" />
  <Relationship Id="rId35" Type="http://schemas.openxmlformats.org/officeDocument/2006/relationships/hyperlink" Target="http://www.ilga.gov/legislation/ilcs/ilcs4.asp?DocName=030500050HArt%2E+V&amp;ActID=1413&amp;ChapterID=28&amp;SeqStart=11400000&amp;SeqEnd=26350000"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2053-C4B0-42F6-9499-759CC20A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9</Pages>
  <Words>2560</Words>
  <Characters>13772</Characters>
  <Application>Microsoft Office Word</Application>
  <DocSecurity>0</DocSecurity>
  <Lines>318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bfe7ec49-4839-437d-afdf-39bb2f4d656c</vt:lpwstr>
  </property>
</Properties>
</file>