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C8" w:rsidRPr="00451B13" w:rsidRDefault="0013027E" w:rsidP="00451B13">
      <w:pPr>
        <w:jc w:val="center"/>
        <w:rPr>
          <w:sz w:val="28"/>
          <w:szCs w:val="28"/>
        </w:rPr>
      </w:pPr>
      <w:r w:rsidRPr="00451B13">
        <w:rPr>
          <w:b/>
          <w:sz w:val="28"/>
          <w:szCs w:val="28"/>
        </w:rPr>
        <w:t xml:space="preserve">Impressions of </w:t>
      </w:r>
      <w:r w:rsidR="0059347C" w:rsidRPr="00451B13">
        <w:rPr>
          <w:b/>
          <w:sz w:val="28"/>
          <w:szCs w:val="28"/>
        </w:rPr>
        <w:t>Internal Medicine</w:t>
      </w:r>
      <w:r w:rsidR="00451B13" w:rsidRPr="00451B13">
        <w:rPr>
          <w:b/>
          <w:sz w:val="28"/>
          <w:szCs w:val="28"/>
        </w:rPr>
        <w:t>:</w:t>
      </w:r>
      <w:r w:rsidR="0059347C" w:rsidRPr="00451B13">
        <w:rPr>
          <w:b/>
          <w:sz w:val="28"/>
          <w:szCs w:val="28"/>
        </w:rPr>
        <w:t xml:space="preserve"> Before &amp; Aft</w:t>
      </w:r>
      <w:r w:rsidR="00980B21" w:rsidRPr="00451B13">
        <w:rPr>
          <w:b/>
          <w:sz w:val="28"/>
          <w:szCs w:val="28"/>
        </w:rPr>
        <w:t>er</w:t>
      </w:r>
      <w:r w:rsidRPr="00451B13">
        <w:rPr>
          <w:b/>
          <w:sz w:val="28"/>
          <w:szCs w:val="28"/>
        </w:rPr>
        <w:t xml:space="preserve"> the 3</w:t>
      </w:r>
      <w:r w:rsidRPr="00451B13">
        <w:rPr>
          <w:b/>
          <w:sz w:val="28"/>
          <w:szCs w:val="28"/>
          <w:vertAlign w:val="superscript"/>
        </w:rPr>
        <w:t>rd</w:t>
      </w:r>
      <w:r w:rsidRPr="00451B13">
        <w:rPr>
          <w:b/>
          <w:sz w:val="28"/>
          <w:szCs w:val="28"/>
        </w:rPr>
        <w:t xml:space="preserve"> year Clerkship</w:t>
      </w:r>
    </w:p>
    <w:p w:rsidR="00BB5DC8" w:rsidRPr="00DF644A" w:rsidRDefault="00980B21" w:rsidP="00451B13">
      <w:pPr>
        <w:jc w:val="center"/>
        <w:rPr>
          <w:sz w:val="24"/>
          <w:szCs w:val="24"/>
        </w:rPr>
      </w:pPr>
      <w:r>
        <w:rPr>
          <w:sz w:val="24"/>
          <w:szCs w:val="24"/>
        </w:rPr>
        <w:t>Cynthia A. Burns, MD, FACP</w:t>
      </w:r>
    </w:p>
    <w:p w:rsidR="00BB5DC8" w:rsidRDefault="00980B21" w:rsidP="00451B13">
      <w:pPr>
        <w:jc w:val="center"/>
        <w:rPr>
          <w:sz w:val="24"/>
          <w:szCs w:val="24"/>
        </w:rPr>
      </w:pPr>
      <w:r>
        <w:rPr>
          <w:sz w:val="24"/>
          <w:szCs w:val="24"/>
        </w:rPr>
        <w:t>K. Patrick Ober, MD &amp; Ann Lambros, PhD</w:t>
      </w:r>
    </w:p>
    <w:p w:rsidR="00451B13" w:rsidRPr="00DF644A" w:rsidRDefault="00451B13" w:rsidP="00451B13">
      <w:pPr>
        <w:jc w:val="center"/>
        <w:rPr>
          <w:sz w:val="24"/>
          <w:szCs w:val="24"/>
        </w:rPr>
      </w:pPr>
      <w:r>
        <w:rPr>
          <w:sz w:val="24"/>
          <w:szCs w:val="24"/>
        </w:rPr>
        <w:t>Wake Forest School of Medicine</w:t>
      </w:r>
    </w:p>
    <w:p w:rsidR="00451B13" w:rsidRDefault="00AE2666" w:rsidP="00451B13">
      <w:pPr>
        <w:rPr>
          <w:sz w:val="24"/>
          <w:szCs w:val="24"/>
          <w:u w:val="single"/>
        </w:rPr>
      </w:pPr>
      <w:r w:rsidRPr="00AE2666">
        <w:rPr>
          <w:sz w:val="24"/>
          <w:szCs w:val="24"/>
          <w:u w:val="single"/>
        </w:rPr>
        <w:t>Background</w:t>
      </w:r>
      <w:r w:rsidR="00451B13">
        <w:rPr>
          <w:sz w:val="24"/>
          <w:szCs w:val="24"/>
          <w:u w:val="single"/>
        </w:rPr>
        <w:t>:</w:t>
      </w:r>
    </w:p>
    <w:p w:rsidR="00AE2666" w:rsidRPr="00451B13" w:rsidRDefault="00AE2666" w:rsidP="00451B13">
      <w:pPr>
        <w:rPr>
          <w:sz w:val="24"/>
          <w:szCs w:val="24"/>
          <w:u w:val="single"/>
        </w:rPr>
      </w:pPr>
      <w:r w:rsidRPr="00AE2666">
        <w:rPr>
          <w:sz w:val="24"/>
          <w:szCs w:val="24"/>
        </w:rPr>
        <w:t>Students arrive at the start of the</w:t>
      </w:r>
      <w:r>
        <w:rPr>
          <w:sz w:val="24"/>
          <w:szCs w:val="24"/>
        </w:rPr>
        <w:t xml:space="preserve"> third year</w:t>
      </w:r>
      <w:r w:rsidRPr="00AE2666">
        <w:rPr>
          <w:sz w:val="24"/>
          <w:szCs w:val="24"/>
        </w:rPr>
        <w:t xml:space="preserve"> Internal Medicine </w:t>
      </w:r>
      <w:r>
        <w:rPr>
          <w:sz w:val="24"/>
          <w:szCs w:val="24"/>
        </w:rPr>
        <w:t>clerkship</w:t>
      </w:r>
      <w:r w:rsidRPr="00AE2666">
        <w:rPr>
          <w:sz w:val="24"/>
          <w:szCs w:val="24"/>
        </w:rPr>
        <w:t xml:space="preserve"> with plenty of impressions – some good, some not so good.  They also leave with a set of impressions of Internal Medicine that may or may not have changed over the course</w:t>
      </w:r>
      <w:r>
        <w:rPr>
          <w:sz w:val="24"/>
          <w:szCs w:val="24"/>
        </w:rPr>
        <w:t xml:space="preserve"> of the curriculum</w:t>
      </w:r>
      <w:r w:rsidRPr="00AE2666">
        <w:rPr>
          <w:sz w:val="24"/>
          <w:szCs w:val="24"/>
        </w:rPr>
        <w:t xml:space="preserve">.  The curriculum and interactions with housestaff and faculty will impact these impressions. </w:t>
      </w:r>
      <w:r w:rsidRPr="00AE2666">
        <w:rPr>
          <w:rStyle w:val="FootnoteReference"/>
          <w:sz w:val="24"/>
          <w:szCs w:val="24"/>
        </w:rPr>
        <w:footnoteReference w:id="1"/>
      </w:r>
      <w:r w:rsidRPr="00AE2666">
        <w:rPr>
          <w:sz w:val="24"/>
          <w:szCs w:val="24"/>
          <w:vertAlign w:val="superscript"/>
        </w:rPr>
        <w:t>,</w:t>
      </w:r>
      <w:r w:rsidRPr="00AE2666">
        <w:rPr>
          <w:sz w:val="24"/>
          <w:szCs w:val="24"/>
        </w:rPr>
        <w:t xml:space="preserve"> </w:t>
      </w:r>
      <w:r w:rsidRPr="00AE2666">
        <w:rPr>
          <w:rStyle w:val="FootnoteReference"/>
          <w:sz w:val="24"/>
          <w:szCs w:val="24"/>
        </w:rPr>
        <w:footnoteReference w:id="2"/>
      </w:r>
      <w:r w:rsidRPr="00AE2666">
        <w:rPr>
          <w:sz w:val="24"/>
          <w:szCs w:val="24"/>
          <w:vertAlign w:val="superscript"/>
        </w:rPr>
        <w:t>,</w:t>
      </w:r>
      <w:r w:rsidRPr="00AE2666">
        <w:rPr>
          <w:rStyle w:val="FootnoteReference"/>
          <w:sz w:val="24"/>
          <w:szCs w:val="24"/>
        </w:rPr>
        <w:t xml:space="preserve"> </w:t>
      </w:r>
      <w:r w:rsidRPr="00AE2666">
        <w:rPr>
          <w:rStyle w:val="FootnoteReference"/>
          <w:sz w:val="24"/>
          <w:szCs w:val="24"/>
        </w:rPr>
        <w:footnoteReference w:id="3"/>
      </w:r>
    </w:p>
    <w:p w:rsidR="00451B13" w:rsidRDefault="00AE2666" w:rsidP="00451B13">
      <w:pPr>
        <w:rPr>
          <w:sz w:val="24"/>
          <w:szCs w:val="24"/>
          <w:u w:val="single"/>
        </w:rPr>
      </w:pPr>
      <w:r w:rsidRPr="00AE2666">
        <w:rPr>
          <w:sz w:val="24"/>
          <w:szCs w:val="24"/>
          <w:u w:val="single"/>
        </w:rPr>
        <w:t>Methods:</w:t>
      </w:r>
    </w:p>
    <w:p w:rsidR="001E4895" w:rsidRPr="00451B13" w:rsidRDefault="00AE2666" w:rsidP="00451B13">
      <w:pPr>
        <w:rPr>
          <w:sz w:val="24"/>
          <w:szCs w:val="24"/>
          <w:u w:val="single"/>
        </w:rPr>
      </w:pPr>
      <w:r w:rsidRPr="00AE2666">
        <w:rPr>
          <w:sz w:val="24"/>
          <w:szCs w:val="24"/>
        </w:rPr>
        <w:t xml:space="preserve">I provided each </w:t>
      </w:r>
      <w:r>
        <w:rPr>
          <w:sz w:val="24"/>
          <w:szCs w:val="24"/>
        </w:rPr>
        <w:t>clerkship</w:t>
      </w:r>
      <w:r w:rsidRPr="00AE2666">
        <w:rPr>
          <w:sz w:val="24"/>
          <w:szCs w:val="24"/>
        </w:rPr>
        <w:t xml:space="preserve"> group in the </w:t>
      </w:r>
      <w:r>
        <w:rPr>
          <w:sz w:val="24"/>
          <w:szCs w:val="24"/>
        </w:rPr>
        <w:t>third year</w:t>
      </w:r>
      <w:r w:rsidRPr="00AE2666">
        <w:rPr>
          <w:sz w:val="24"/>
          <w:szCs w:val="24"/>
        </w:rPr>
        <w:t xml:space="preserve"> Internal Medicine </w:t>
      </w:r>
      <w:r>
        <w:rPr>
          <w:sz w:val="24"/>
          <w:szCs w:val="24"/>
        </w:rPr>
        <w:t>clerkship</w:t>
      </w:r>
      <w:r w:rsidRPr="00AE2666">
        <w:rPr>
          <w:sz w:val="24"/>
          <w:szCs w:val="24"/>
        </w:rPr>
        <w:t xml:space="preserve"> with a one page list of </w:t>
      </w:r>
      <w:r>
        <w:rPr>
          <w:sz w:val="24"/>
          <w:szCs w:val="24"/>
        </w:rPr>
        <w:t>13 adjectives</w:t>
      </w:r>
      <w:r w:rsidRPr="00AE2666">
        <w:rPr>
          <w:sz w:val="24"/>
          <w:szCs w:val="24"/>
        </w:rPr>
        <w:t xml:space="preserve"> describing their pre-</w:t>
      </w:r>
      <w:r>
        <w:rPr>
          <w:sz w:val="24"/>
          <w:szCs w:val="24"/>
        </w:rPr>
        <w:t>clerkship</w:t>
      </w:r>
      <w:r w:rsidRPr="00AE2666">
        <w:rPr>
          <w:sz w:val="24"/>
          <w:szCs w:val="24"/>
        </w:rPr>
        <w:t xml:space="preserve"> impressions of Internal Medicine.  </w:t>
      </w:r>
      <w:r w:rsidR="003F26A0">
        <w:rPr>
          <w:sz w:val="24"/>
          <w:szCs w:val="24"/>
        </w:rPr>
        <w:t xml:space="preserve">This list of adjectives included a range of choices, from positive to negative. </w:t>
      </w:r>
      <w:r w:rsidRPr="00AE2666">
        <w:rPr>
          <w:sz w:val="24"/>
          <w:szCs w:val="24"/>
        </w:rPr>
        <w:t xml:space="preserve">At the </w:t>
      </w:r>
      <w:r w:rsidR="008506A4">
        <w:rPr>
          <w:sz w:val="24"/>
          <w:szCs w:val="24"/>
        </w:rPr>
        <w:t>beginning</w:t>
      </w:r>
      <w:r w:rsidRPr="00AE2666">
        <w:rPr>
          <w:sz w:val="24"/>
          <w:szCs w:val="24"/>
        </w:rPr>
        <w:t xml:space="preserve"> of each clerkship</w:t>
      </w:r>
      <w:r w:rsidR="00BD56DA">
        <w:rPr>
          <w:sz w:val="24"/>
          <w:szCs w:val="24"/>
        </w:rPr>
        <w:t xml:space="preserve"> in years 2007-2012</w:t>
      </w:r>
      <w:r w:rsidRPr="00AE2666">
        <w:rPr>
          <w:sz w:val="24"/>
          <w:szCs w:val="24"/>
        </w:rPr>
        <w:t xml:space="preserve">, students </w:t>
      </w:r>
      <w:r w:rsidR="00BD56DA">
        <w:rPr>
          <w:sz w:val="24"/>
          <w:szCs w:val="24"/>
        </w:rPr>
        <w:t>were</w:t>
      </w:r>
      <w:r w:rsidRPr="00AE2666">
        <w:rPr>
          <w:sz w:val="24"/>
          <w:szCs w:val="24"/>
        </w:rPr>
        <w:t xml:space="preserve"> asked to choose as many of the </w:t>
      </w:r>
      <w:r w:rsidR="00BD56DA">
        <w:rPr>
          <w:sz w:val="24"/>
          <w:szCs w:val="24"/>
        </w:rPr>
        <w:t>adjectives</w:t>
      </w:r>
      <w:r w:rsidRPr="00AE2666">
        <w:rPr>
          <w:sz w:val="24"/>
          <w:szCs w:val="24"/>
        </w:rPr>
        <w:t xml:space="preserve"> as they </w:t>
      </w:r>
      <w:r w:rsidR="00BD56DA">
        <w:rPr>
          <w:sz w:val="24"/>
          <w:szCs w:val="24"/>
        </w:rPr>
        <w:t>felt</w:t>
      </w:r>
      <w:r w:rsidRPr="00AE2666">
        <w:rPr>
          <w:sz w:val="24"/>
          <w:szCs w:val="24"/>
        </w:rPr>
        <w:t xml:space="preserve"> appropriate.  In the last week of the rotation, I distributed the same list, each time with a request for any comments to explain their descriptor choices.</w:t>
      </w:r>
    </w:p>
    <w:p w:rsidR="005B5EA0" w:rsidRPr="005B5EA0" w:rsidRDefault="005B5EA0" w:rsidP="00302588">
      <w:pPr>
        <w:rPr>
          <w:sz w:val="24"/>
          <w:szCs w:val="24"/>
          <w:u w:val="single"/>
        </w:rPr>
      </w:pPr>
      <w:r w:rsidRPr="005B5EA0">
        <w:rPr>
          <w:sz w:val="24"/>
          <w:szCs w:val="24"/>
          <w:u w:val="single"/>
        </w:rPr>
        <w:t>Goals:</w:t>
      </w:r>
    </w:p>
    <w:p w:rsidR="005B5EA0" w:rsidRPr="005B5EA0" w:rsidRDefault="005B5EA0" w:rsidP="005B5EA0">
      <w:pPr>
        <w:rPr>
          <w:sz w:val="24"/>
          <w:szCs w:val="24"/>
        </w:rPr>
      </w:pPr>
      <w:r w:rsidRPr="005B5EA0">
        <w:rPr>
          <w:sz w:val="24"/>
          <w:szCs w:val="24"/>
        </w:rPr>
        <w:t xml:space="preserve">My goal </w:t>
      </w:r>
      <w:r>
        <w:rPr>
          <w:sz w:val="24"/>
          <w:szCs w:val="24"/>
        </w:rPr>
        <w:t>is to use student impressions of</w:t>
      </w:r>
      <w:r w:rsidRPr="005B5EA0">
        <w:rPr>
          <w:sz w:val="24"/>
          <w:szCs w:val="24"/>
        </w:rPr>
        <w:t xml:space="preserve"> the </w:t>
      </w:r>
      <w:r>
        <w:rPr>
          <w:sz w:val="24"/>
          <w:szCs w:val="24"/>
        </w:rPr>
        <w:t>3</w:t>
      </w:r>
      <w:r w:rsidRPr="005B5EA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year</w:t>
      </w:r>
      <w:r w:rsidRPr="005B5EA0">
        <w:rPr>
          <w:sz w:val="24"/>
          <w:szCs w:val="24"/>
        </w:rPr>
        <w:t xml:space="preserve"> Internal Medicine clerkship as a vehicle for positive change in curriculum and housestaff/faculty development.</w:t>
      </w:r>
      <w:r w:rsidRPr="005B5EA0">
        <w:rPr>
          <w:rStyle w:val="FootnoteReference"/>
          <w:sz w:val="24"/>
          <w:szCs w:val="24"/>
        </w:rPr>
        <w:footnoteReference w:id="4"/>
      </w:r>
      <w:r w:rsidRPr="005B5EA0">
        <w:rPr>
          <w:sz w:val="24"/>
          <w:szCs w:val="24"/>
        </w:rPr>
        <w:t xml:space="preserve">    </w:t>
      </w:r>
    </w:p>
    <w:p w:rsidR="00BB5DC8" w:rsidRDefault="005B5EA0" w:rsidP="005B5EA0">
      <w:pPr>
        <w:pStyle w:val="BodyText2"/>
        <w:spacing w:line="276" w:lineRule="auto"/>
        <w:rPr>
          <w:sz w:val="24"/>
          <w:szCs w:val="24"/>
        </w:rPr>
      </w:pPr>
      <w:r w:rsidRPr="005B5EA0">
        <w:rPr>
          <w:sz w:val="24"/>
          <w:szCs w:val="24"/>
        </w:rPr>
        <w:t xml:space="preserve">My long term goal is to make my findings available to </w:t>
      </w:r>
      <w:r>
        <w:rPr>
          <w:sz w:val="24"/>
          <w:szCs w:val="24"/>
        </w:rPr>
        <w:t>Year 3 and Year 4</w:t>
      </w:r>
      <w:r w:rsidRPr="005B5EA0">
        <w:rPr>
          <w:sz w:val="24"/>
          <w:szCs w:val="24"/>
        </w:rPr>
        <w:t xml:space="preserve"> course directors, as well as residency/fellowship program directors, so that they can develop interventions in their own courses/programs in response to common reasons for negative impressions of a course or program</w:t>
      </w:r>
      <w:r w:rsidR="0094026C">
        <w:rPr>
          <w:sz w:val="24"/>
          <w:szCs w:val="24"/>
        </w:rPr>
        <w:t>, as well as provide data on those common areas of our specialty that drive positive impressions</w:t>
      </w:r>
      <w:r w:rsidRPr="005B5EA0">
        <w:rPr>
          <w:sz w:val="24"/>
          <w:szCs w:val="24"/>
        </w:rPr>
        <w:t xml:space="preserve">.   </w:t>
      </w:r>
    </w:p>
    <w:p w:rsidR="000111C7" w:rsidRDefault="000111C7" w:rsidP="005B5EA0">
      <w:pPr>
        <w:pStyle w:val="BodyText2"/>
        <w:spacing w:line="276" w:lineRule="auto"/>
        <w:rPr>
          <w:sz w:val="24"/>
          <w:szCs w:val="24"/>
        </w:rPr>
      </w:pPr>
    </w:p>
    <w:p w:rsidR="004A04C8" w:rsidRDefault="004A04C8" w:rsidP="00DE2E56">
      <w:pPr>
        <w:rPr>
          <w:sz w:val="24"/>
          <w:szCs w:val="24"/>
        </w:rPr>
      </w:pPr>
    </w:p>
    <w:p w:rsidR="00BB5DC8" w:rsidRPr="00DF644A" w:rsidRDefault="00DE2E56" w:rsidP="00DE2E56">
      <w:pPr>
        <w:rPr>
          <w:sz w:val="24"/>
          <w:szCs w:val="24"/>
        </w:rPr>
      </w:pPr>
      <w:r w:rsidRPr="00DF644A">
        <w:rPr>
          <w:sz w:val="24"/>
          <w:szCs w:val="24"/>
        </w:rPr>
        <w:lastRenderedPageBreak/>
        <w:t>Duration of project:</w:t>
      </w:r>
      <w:r w:rsidR="00980B21">
        <w:rPr>
          <w:sz w:val="24"/>
          <w:szCs w:val="24"/>
        </w:rPr>
        <w:t xml:space="preserve">  5 years</w:t>
      </w:r>
    </w:p>
    <w:p w:rsidR="00BB5DC8" w:rsidRPr="00DF644A" w:rsidRDefault="00DE2E56">
      <w:pPr>
        <w:rPr>
          <w:sz w:val="24"/>
          <w:szCs w:val="24"/>
        </w:rPr>
      </w:pPr>
      <w:r w:rsidRPr="00DF644A">
        <w:rPr>
          <w:sz w:val="24"/>
          <w:szCs w:val="24"/>
        </w:rPr>
        <w:t>How project will be evaluated:</w:t>
      </w:r>
      <w:r w:rsidR="009223C4">
        <w:rPr>
          <w:sz w:val="24"/>
          <w:szCs w:val="24"/>
        </w:rPr>
        <w:t xml:space="preserve">  </w:t>
      </w:r>
      <w:r w:rsidR="00DC1016">
        <w:rPr>
          <w:sz w:val="24"/>
          <w:szCs w:val="24"/>
        </w:rPr>
        <w:t xml:space="preserve">Analysis of the students’ before and after impressions with regard to percentage of positive, negative or neutral adjectives chosen.  Analysis will take into account whether the clerkship was eight </w:t>
      </w:r>
      <w:r w:rsidR="008146AE">
        <w:rPr>
          <w:sz w:val="24"/>
          <w:szCs w:val="24"/>
        </w:rPr>
        <w:t xml:space="preserve">(inpatient experience only) </w:t>
      </w:r>
      <w:r w:rsidR="00DC1016">
        <w:rPr>
          <w:sz w:val="24"/>
          <w:szCs w:val="24"/>
        </w:rPr>
        <w:t xml:space="preserve">or twelve weeks </w:t>
      </w:r>
      <w:r w:rsidR="008146AE">
        <w:rPr>
          <w:sz w:val="24"/>
          <w:szCs w:val="24"/>
        </w:rPr>
        <w:t xml:space="preserve">(inpatient and ambulatory experiences combined) </w:t>
      </w:r>
      <w:r w:rsidR="00DC1016">
        <w:rPr>
          <w:sz w:val="24"/>
          <w:szCs w:val="24"/>
        </w:rPr>
        <w:t>in duration and whether the students completed the clerkship early or late in their third years</w:t>
      </w:r>
    </w:p>
    <w:p w:rsidR="009E2BFF" w:rsidRPr="00DF644A" w:rsidRDefault="00C22536">
      <w:pPr>
        <w:rPr>
          <w:sz w:val="24"/>
          <w:szCs w:val="24"/>
        </w:rPr>
      </w:pPr>
      <w:r w:rsidRPr="00DF644A">
        <w:rPr>
          <w:sz w:val="24"/>
          <w:szCs w:val="24"/>
        </w:rPr>
        <w:t>Projected impact:</w:t>
      </w:r>
      <w:r w:rsidR="0011504D">
        <w:rPr>
          <w:sz w:val="24"/>
          <w:szCs w:val="24"/>
        </w:rPr>
        <w:t xml:space="preserve"> Internal Medicine house staff and faculty will see the impact that their passion for patient care and love of teaching </w:t>
      </w:r>
      <w:r w:rsidR="009E2BFF">
        <w:rPr>
          <w:sz w:val="24"/>
          <w:szCs w:val="24"/>
        </w:rPr>
        <w:t>has</w:t>
      </w:r>
      <w:r w:rsidR="0011504D">
        <w:rPr>
          <w:sz w:val="24"/>
          <w:szCs w:val="24"/>
        </w:rPr>
        <w:t xml:space="preserve"> on</w:t>
      </w:r>
      <w:r w:rsidR="00B47A0C">
        <w:rPr>
          <w:sz w:val="24"/>
          <w:szCs w:val="24"/>
        </w:rPr>
        <w:t xml:space="preserve"> medical students’</w:t>
      </w:r>
      <w:r w:rsidR="00FD3657">
        <w:rPr>
          <w:sz w:val="24"/>
          <w:szCs w:val="24"/>
        </w:rPr>
        <w:t xml:space="preserve"> </w:t>
      </w:r>
      <w:r w:rsidR="00AC2A1D">
        <w:rPr>
          <w:sz w:val="24"/>
          <w:szCs w:val="24"/>
        </w:rPr>
        <w:t xml:space="preserve"> impression of our specialty and their choice of </w:t>
      </w:r>
      <w:r w:rsidR="00FD3657">
        <w:rPr>
          <w:sz w:val="24"/>
          <w:szCs w:val="24"/>
        </w:rPr>
        <w:t xml:space="preserve">our </w:t>
      </w:r>
      <w:r w:rsidR="00AC2A1D">
        <w:rPr>
          <w:sz w:val="24"/>
          <w:szCs w:val="24"/>
        </w:rPr>
        <w:t>specialty</w:t>
      </w:r>
      <w:r w:rsidR="00FD3657">
        <w:rPr>
          <w:sz w:val="24"/>
          <w:szCs w:val="24"/>
        </w:rPr>
        <w:t xml:space="preserve"> for residency</w:t>
      </w:r>
      <w:r w:rsidR="0011504D">
        <w:rPr>
          <w:sz w:val="24"/>
          <w:szCs w:val="24"/>
        </w:rPr>
        <w:t>.</w:t>
      </w:r>
      <w:r w:rsidR="009E2BFF">
        <w:rPr>
          <w:sz w:val="24"/>
          <w:szCs w:val="24"/>
        </w:rPr>
        <w:t xml:space="preserve"> </w:t>
      </w:r>
      <w:r w:rsidR="007A6A9C">
        <w:rPr>
          <w:sz w:val="24"/>
          <w:szCs w:val="24"/>
        </w:rPr>
        <w:t>The project will impact the medical education community by adding to the literature regarding medical student specialty choice.</w:t>
      </w:r>
    </w:p>
    <w:p w:rsidR="00C22536" w:rsidRDefault="00C22536">
      <w:pPr>
        <w:rPr>
          <w:sz w:val="24"/>
          <w:szCs w:val="24"/>
        </w:rPr>
      </w:pPr>
    </w:p>
    <w:p w:rsidR="0094026C" w:rsidRDefault="00753C8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Update, February 2016</w:t>
      </w:r>
      <w:r w:rsidR="0094026C">
        <w:rPr>
          <w:b/>
          <w:sz w:val="24"/>
          <w:szCs w:val="24"/>
          <w:u w:val="single"/>
        </w:rPr>
        <w:t>:</w:t>
      </w:r>
    </w:p>
    <w:p w:rsidR="00CE792C" w:rsidRDefault="004A04C8" w:rsidP="004A04C8">
      <w:pPr>
        <w:rPr>
          <w:sz w:val="24"/>
          <w:szCs w:val="24"/>
        </w:rPr>
      </w:pPr>
      <w:r>
        <w:rPr>
          <w:sz w:val="24"/>
          <w:szCs w:val="24"/>
        </w:rPr>
        <w:t xml:space="preserve">Data entry of student impressions is complete, </w:t>
      </w:r>
      <w:r w:rsidR="00753C8E">
        <w:rPr>
          <w:sz w:val="24"/>
          <w:szCs w:val="24"/>
        </w:rPr>
        <w:t>as is</w:t>
      </w:r>
      <w:r>
        <w:rPr>
          <w:sz w:val="24"/>
          <w:szCs w:val="24"/>
        </w:rPr>
        <w:t xml:space="preserve"> </w:t>
      </w:r>
      <w:r w:rsidR="00753C8E">
        <w:rPr>
          <w:sz w:val="24"/>
          <w:szCs w:val="24"/>
        </w:rPr>
        <w:t>the analysis</w:t>
      </w:r>
      <w:r>
        <w:rPr>
          <w:sz w:val="24"/>
          <w:szCs w:val="24"/>
        </w:rPr>
        <w:t xml:space="preserve">. </w:t>
      </w:r>
      <w:r w:rsidR="00DC7C78">
        <w:rPr>
          <w:sz w:val="24"/>
          <w:szCs w:val="24"/>
        </w:rPr>
        <w:t xml:space="preserve">The Wake Forest School of Medicine Office of Medical Education graciously offered analysis by their statistical team with funding from their budget, and I awaiting the results of that analysis. </w:t>
      </w:r>
      <w:r w:rsidR="00CD3276">
        <w:rPr>
          <w:sz w:val="24"/>
          <w:szCs w:val="24"/>
        </w:rPr>
        <w:t xml:space="preserve">I have begun the manuscript and </w:t>
      </w:r>
      <w:r>
        <w:rPr>
          <w:sz w:val="24"/>
          <w:szCs w:val="24"/>
        </w:rPr>
        <w:t xml:space="preserve">plan to </w:t>
      </w:r>
      <w:r w:rsidR="00DC7C78">
        <w:rPr>
          <w:sz w:val="24"/>
          <w:szCs w:val="24"/>
        </w:rPr>
        <w:t>submit</w:t>
      </w:r>
      <w:r>
        <w:rPr>
          <w:sz w:val="24"/>
          <w:szCs w:val="24"/>
        </w:rPr>
        <w:t xml:space="preserve"> </w:t>
      </w:r>
      <w:r w:rsidR="00CD3276">
        <w:rPr>
          <w:sz w:val="24"/>
          <w:szCs w:val="24"/>
        </w:rPr>
        <w:t xml:space="preserve">it to the </w:t>
      </w:r>
      <w:r w:rsidR="00CD3276" w:rsidRPr="00CD3276">
        <w:rPr>
          <w:i/>
          <w:sz w:val="24"/>
          <w:szCs w:val="24"/>
        </w:rPr>
        <w:t>Journal of General Internal Medicine</w:t>
      </w:r>
      <w:r w:rsidR="00CD3276">
        <w:rPr>
          <w:sz w:val="24"/>
          <w:szCs w:val="24"/>
        </w:rPr>
        <w:t xml:space="preserve"> in the next 8-12 weeks</w:t>
      </w:r>
      <w:r>
        <w:rPr>
          <w:sz w:val="24"/>
          <w:szCs w:val="24"/>
        </w:rPr>
        <w:t>.</w:t>
      </w:r>
    </w:p>
    <w:p w:rsidR="0094026C" w:rsidRPr="0094026C" w:rsidRDefault="00CE792C">
      <w:pPr>
        <w:rPr>
          <w:sz w:val="24"/>
          <w:szCs w:val="24"/>
        </w:rPr>
      </w:pPr>
      <w:r w:rsidRPr="00CE792C">
        <w:rPr>
          <w:b/>
          <w:sz w:val="24"/>
          <w:szCs w:val="24"/>
        </w:rPr>
        <w:t>Financial Report</w:t>
      </w:r>
      <w:r>
        <w:rPr>
          <w:sz w:val="24"/>
          <w:szCs w:val="24"/>
        </w:rPr>
        <w:t>:  To date, I have not spent any of the grant money</w:t>
      </w:r>
      <w:r w:rsidR="00753C8E">
        <w:rPr>
          <w:sz w:val="24"/>
          <w:szCs w:val="24"/>
        </w:rPr>
        <w:t xml:space="preserve"> on this project, </w:t>
      </w:r>
      <w:r w:rsidR="002D6F84">
        <w:rPr>
          <w:sz w:val="24"/>
          <w:szCs w:val="24"/>
        </w:rPr>
        <w:t xml:space="preserve">due to the analysis offered by the Office of Medical Education. </w:t>
      </w:r>
      <w:bookmarkStart w:id="0" w:name="_GoBack"/>
      <w:bookmarkEnd w:id="0"/>
    </w:p>
    <w:sectPr w:rsidR="0094026C" w:rsidRPr="0094026C" w:rsidSect="00FE0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0D" w:rsidRDefault="00517F0D" w:rsidP="009223C4">
      <w:pPr>
        <w:spacing w:after="0" w:line="240" w:lineRule="auto"/>
      </w:pPr>
      <w:r>
        <w:separator/>
      </w:r>
    </w:p>
  </w:endnote>
  <w:endnote w:type="continuationSeparator" w:id="0">
    <w:p w:rsidR="00517F0D" w:rsidRDefault="00517F0D" w:rsidP="0092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0D" w:rsidRDefault="00517F0D" w:rsidP="009223C4">
      <w:pPr>
        <w:spacing w:after="0" w:line="240" w:lineRule="auto"/>
      </w:pPr>
      <w:r>
        <w:separator/>
      </w:r>
    </w:p>
  </w:footnote>
  <w:footnote w:type="continuationSeparator" w:id="0">
    <w:p w:rsidR="00517F0D" w:rsidRDefault="00517F0D" w:rsidP="009223C4">
      <w:pPr>
        <w:spacing w:after="0" w:line="240" w:lineRule="auto"/>
      </w:pPr>
      <w:r>
        <w:continuationSeparator/>
      </w:r>
    </w:p>
  </w:footnote>
  <w:footnote w:id="1">
    <w:p w:rsidR="00AE2666" w:rsidRDefault="00AE2666" w:rsidP="00AE2666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sz w:val="16"/>
        </w:rPr>
        <w:t xml:space="preserve">Guarino CM, et al.  </w:t>
      </w:r>
      <w:r>
        <w:rPr>
          <w:i/>
          <w:sz w:val="16"/>
        </w:rPr>
        <w:t>Impact of instructional practices on student satisfaction with attendings' teaching in the inpatient component of internal medicine clerkships</w:t>
      </w:r>
      <w:r>
        <w:rPr>
          <w:sz w:val="16"/>
        </w:rPr>
        <w:t>.  J Gen Intern Med. 2006 Jan;21(1):7-12</w:t>
      </w:r>
    </w:p>
  </w:footnote>
  <w:footnote w:id="2">
    <w:p w:rsidR="00AE2666" w:rsidRDefault="00AE2666" w:rsidP="00AE2666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Griffith CH 3</w:t>
      </w:r>
      <w:r>
        <w:rPr>
          <w:sz w:val="16"/>
          <w:vertAlign w:val="superscript"/>
        </w:rPr>
        <w:t>rd</w:t>
      </w:r>
      <w:r>
        <w:rPr>
          <w:sz w:val="16"/>
        </w:rPr>
        <w:t xml:space="preserve"> , et al.  </w:t>
      </w:r>
      <w:r>
        <w:rPr>
          <w:i/>
          <w:sz w:val="16"/>
        </w:rPr>
        <w:t>Specialty choices of students who actually have choices: the influence of excellent clinical teachers</w:t>
      </w:r>
      <w:r>
        <w:rPr>
          <w:sz w:val="16"/>
        </w:rPr>
        <w:t>.  Acad Med. 2000 Mar;75(3):278-82</w:t>
      </w:r>
      <w:r>
        <w:t>.</w:t>
      </w:r>
    </w:p>
  </w:footnote>
  <w:footnote w:id="3">
    <w:p w:rsidR="00AE2666" w:rsidRDefault="00AE2666" w:rsidP="00AE26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Griffith CH 3</w:t>
      </w:r>
      <w:r>
        <w:rPr>
          <w:sz w:val="16"/>
          <w:vertAlign w:val="superscript"/>
        </w:rPr>
        <w:t>rd</w:t>
      </w:r>
      <w:r>
        <w:rPr>
          <w:sz w:val="16"/>
        </w:rPr>
        <w:t xml:space="preserve"> , et al.  </w:t>
      </w:r>
      <w:r>
        <w:rPr>
          <w:i/>
          <w:sz w:val="16"/>
        </w:rPr>
        <w:t>Do students who work with better housestaff in their medicine clerkships learn more?</w:t>
      </w:r>
      <w:r>
        <w:rPr>
          <w:sz w:val="16"/>
        </w:rPr>
        <w:t xml:space="preserve">  Acad Med. 1998 Oct;73(10 Suppl):S57-9.</w:t>
      </w:r>
    </w:p>
  </w:footnote>
  <w:footnote w:id="4">
    <w:p w:rsidR="005B5EA0" w:rsidRDefault="005B5EA0" w:rsidP="005B5EA0"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r>
        <w:rPr>
          <w:sz w:val="16"/>
        </w:rPr>
        <w:t xml:space="preserve">Schwartz MD, et al.  </w:t>
      </w:r>
      <w:r>
        <w:rPr>
          <w:i/>
          <w:sz w:val="16"/>
        </w:rPr>
        <w:t>Medical student interest in internal medicine. Initial report of the Society of General Internal Medicine Interest Group Survey on Factors Influencing Career Choice in Internal Medicine</w:t>
      </w:r>
      <w:r>
        <w:rPr>
          <w:sz w:val="16"/>
        </w:rPr>
        <w:t>.  Ann Intern Med. 1991 Jan 1;114(1):6-15.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36"/>
    <w:rsid w:val="000111C7"/>
    <w:rsid w:val="000947C9"/>
    <w:rsid w:val="001024FB"/>
    <w:rsid w:val="0011504D"/>
    <w:rsid w:val="0013027E"/>
    <w:rsid w:val="00144C38"/>
    <w:rsid w:val="001D5774"/>
    <w:rsid w:val="001E4895"/>
    <w:rsid w:val="001F50BC"/>
    <w:rsid w:val="002D6F84"/>
    <w:rsid w:val="002F3836"/>
    <w:rsid w:val="00302588"/>
    <w:rsid w:val="003C760E"/>
    <w:rsid w:val="003F26A0"/>
    <w:rsid w:val="00430C7A"/>
    <w:rsid w:val="00451B13"/>
    <w:rsid w:val="004A04C8"/>
    <w:rsid w:val="00513442"/>
    <w:rsid w:val="00517F0D"/>
    <w:rsid w:val="00591835"/>
    <w:rsid w:val="0059347C"/>
    <w:rsid w:val="005B5EA0"/>
    <w:rsid w:val="00637F1B"/>
    <w:rsid w:val="00753C8E"/>
    <w:rsid w:val="007A6A9C"/>
    <w:rsid w:val="008146AE"/>
    <w:rsid w:val="00830FA6"/>
    <w:rsid w:val="008506A4"/>
    <w:rsid w:val="00883AF3"/>
    <w:rsid w:val="008D13EB"/>
    <w:rsid w:val="008F16C5"/>
    <w:rsid w:val="00903228"/>
    <w:rsid w:val="00903983"/>
    <w:rsid w:val="009223C4"/>
    <w:rsid w:val="0094026C"/>
    <w:rsid w:val="00980B21"/>
    <w:rsid w:val="009863D0"/>
    <w:rsid w:val="009A27D0"/>
    <w:rsid w:val="009D77A3"/>
    <w:rsid w:val="009E2BFF"/>
    <w:rsid w:val="00A0044A"/>
    <w:rsid w:val="00A7322E"/>
    <w:rsid w:val="00AC2A1D"/>
    <w:rsid w:val="00AE2666"/>
    <w:rsid w:val="00B425AB"/>
    <w:rsid w:val="00B47A0C"/>
    <w:rsid w:val="00B93666"/>
    <w:rsid w:val="00BB5DC8"/>
    <w:rsid w:val="00BD56DA"/>
    <w:rsid w:val="00BF6F51"/>
    <w:rsid w:val="00C22536"/>
    <w:rsid w:val="00CD3276"/>
    <w:rsid w:val="00CE792C"/>
    <w:rsid w:val="00D16DA1"/>
    <w:rsid w:val="00D64AF8"/>
    <w:rsid w:val="00D67755"/>
    <w:rsid w:val="00D87A26"/>
    <w:rsid w:val="00DA58AC"/>
    <w:rsid w:val="00DC1016"/>
    <w:rsid w:val="00DC7C78"/>
    <w:rsid w:val="00DE2E56"/>
    <w:rsid w:val="00DF644A"/>
    <w:rsid w:val="00E234EA"/>
    <w:rsid w:val="00E35531"/>
    <w:rsid w:val="00E625F2"/>
    <w:rsid w:val="00F95E05"/>
    <w:rsid w:val="00FD3657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E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E26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E2666"/>
    <w:rPr>
      <w:vertAlign w:val="superscript"/>
    </w:rPr>
  </w:style>
  <w:style w:type="paragraph" w:styleId="BodyTextIndent">
    <w:name w:val="Body Text Indent"/>
    <w:basedOn w:val="Normal"/>
    <w:link w:val="BodyTextIndentChar"/>
    <w:rsid w:val="00AE2666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2666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5B5E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E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E26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E2666"/>
    <w:rPr>
      <w:vertAlign w:val="superscript"/>
    </w:rPr>
  </w:style>
  <w:style w:type="paragraph" w:styleId="BodyTextIndent">
    <w:name w:val="Body Text Indent"/>
    <w:basedOn w:val="Normal"/>
    <w:link w:val="BodyTextIndentChar"/>
    <w:rsid w:val="00AE2666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2666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5B5E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WFUBMC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WFUHS</dc:creator>
  <cp:lastModifiedBy>WFBMC</cp:lastModifiedBy>
  <cp:revision>3</cp:revision>
  <dcterms:created xsi:type="dcterms:W3CDTF">2016-02-08T22:43:00Z</dcterms:created>
  <dcterms:modified xsi:type="dcterms:W3CDTF">2016-02-08T22:43:00Z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